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VO-NSGZESCHSEE_2015 (Brandenburg) — Schutzgegenstand</w:t>
      </w:r>
    </w:p>
    <w:p>
      <w:r>
        <w:rPr>
          <w:color w:val="555555"/>
          <w:sz w:val="18"/>
        </w:rPr>
        <w:t xml:space="preserve">Verordnung über das Naturschutzgebiet „Großer und Westufer Kleiner Zeschsee“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107 Hektar. Es umfasst Flächen in den Fluren 2, 3 und 6 der Gemarkung Zesch am See.</w:t>
      </w:r>
    </w:p>
    <w:p>
      <w:r>
        <w:t xml:space="preserve">Eine Kartenskizze ist der Verordnung zur Orientierung als Anlage beigefügt.</w:t>
      </w:r>
    </w:p>
    <w:p>
      <w:r>
        <w:t xml:space="preserve">(2) Die Grenze des Naturschutzgebietes ist in einer topografischen Karte im Maßstab 1 : 25 000 und in Flurkarten mit ununterbrochener Linie eingetragen; als Grenze gilt der innere Rand dieser Linie. Zur Orientierung ist dieser Verordnung zusätzlich eine Flurstücksliste als Anlage beigefügt.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in Potsdam sowie beim Landkreis Teltow-Fläming,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VO-NSGZESCHSEE_2015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https://recht.nulegal.eu/gesetze/VO-NSGZESCHSEE_2015/2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