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VO-NSGVOGELSANGWILDAU_2015 (Brandenburg) — Zulässige Handlungen</w:t>
      </w:r>
    </w:p>
    <w:p>
      <w:r>
        <w:rPr>
          <w:color w:val="555555"/>
          <w:sz w:val="18"/>
        </w:rPr>
        <w:t xml:space="preserve">Verordnung über das Naturschutzgebiet „Vogelsang Wildau-Wentdorf“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und Sekundärrohstoffdünger wie Schmutzwasser, Klärschlamm und Bioabfälle einzusetzen,</w:t>
      </w:r>
    </w:p>
    <w:p>
      <w:r>
        <w:t xml:space="preserve">auf Grünland § 4 Abs. 2 Nr. 20 und 21 gilt; bei Wildschäden ist mit Zustimmung der unteren Naturschutzbehörde eine umbruchlose Nachsaat zulässig,</w:t>
      </w:r>
    </w:p>
    <w:p>
      <w:r>
        <w:t xml:space="preserve">bei Beweidung Gehölze, Bruchwaldbestände und Gewässerufer auszuzäunen sind;</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die in § 3 Abs. 2 Nr. 1 und 2 genannten Waldgesellschaften zu erhalten sind,</w:t>
      </w:r>
    </w:p>
    <w:p>
      <w:r>
        <w:t xml:space="preserve">nur einheimische Arten der potenziell natürlichen Vegetation eingebracht werden dürfen. Gesellschaftstypische Nebenbaumarten dürfen dabei nicht als Hauptbaumart eingesetzt werden,</w:t>
      </w:r>
    </w:p>
    <w:p>
      <w:r>
        <w:t xml:space="preserve">§ 4 Abs. 2 Nr. 20 und 22 gilt;</w:t>
      </w:r>
    </w:p>
    <w:p>
      <w:r>
        <w:t xml:space="preserve">für den Bereich der Jagd:</w:t>
      </w:r>
    </w:p>
    <w:p>
      <w:r>
        <w:t xml:space="preserve">die rechtmäßige Ausübung der Jagd,</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Errichtung anzuzeigen. Die untere Naturschutzbehörde kann in begründeten Einzelfällen das Aufstellen verbieten, wenn es dem Schutzzweck entgegensteht. Die Entscheidung hierzu soll unverzüglich erfolgen.</w:t>
      </w:r>
    </w:p>
    <w:p>
      <w:r>
        <w:t xml:space="preserve">Im Übrigen ist die Anlage von Futterstellen, Ansaatwildwiesen und Wildäckern sowie die Ausbildung und Prüfung von Hunden verboten;</w:t>
      </w:r>
    </w:p>
    <w:p>
      <w:r>
        <w:t xml:space="preserve">das nichtgewerbliche Sammeln von Pilzen und Waldfrüchten;</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Der Genehmigungsvorbehalt nach § 19 Abs. 3 Satz 2 des Landeswaldgesetzes bleibt unberührt.</w:t>
      </w:r>
    </w:p>
    <w:p>
      <w:r>
        <w:rPr>
          <w:color w:val="555555"/>
          <w:sz w:val="17"/>
        </w:rPr>
        <w:t xml:space="preserve">Zitiervorschlag: § 5 VO-NSGVOGELSANGWILDAU_2015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https://recht.nulegal.eu/gesetze/VO-NSGVOGELSANGWILDAU_2015/5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