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VO-NSGTORNOWNIED_2016 (Brandenburg) — Zulässige Handlungen</w:t>
      </w:r>
    </w:p>
    <w:p>
      <w:r>
        <w:rPr>
          <w:color w:val="555555"/>
          <w:sz w:val="18"/>
        </w:rPr>
        <w:t xml:space="preserve">Verordnung über das Naturschutzgebiet „Tornower Niederung“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der §§ 4 und 5 bleiben folgende Handlungen:</w:t>
      </w:r>
    </w:p>
    <w:p>
      <w:r>
        <w:t xml:space="preserve">die den in § 1b Abs. 4 des Brandenburgischen Naturschutzgesetzes genannten Anforderungen und Grundsätzen der guten fachlichen Praxis entsprechende landwirtschaftliche Bodennutzung auf den bisher rechtmäßig dafür genutzten Flächen außerhalb der Zone 1 mit der Maßgabe, dass bei Ausbringung von Düngern ein Abstand von jeweils mindestens zehn Metern zu Gewässern jeder Art einzuhalten ist;</w:t>
      </w:r>
    </w:p>
    <w:p>
      <w:r>
        <w:t xml:space="preserve">die den in § 1b Abs. 5 des Brandenburgischen Naturschutzgesetzes genannten Anforderungen entsprechende forstwirtschaftliche Bodennutzung auf den bisher rechtmäßig dafür genutzten Flächen außerhalb der Zone 1 mit der Maßgabe, dass</w:t>
      </w:r>
    </w:p>
    <w:p>
      <w:r>
        <w:t xml:space="preserve">nur Arten der potenziell natürlichen Vegetation eingebracht werden dürfen, wobei nur heimische Baumarten unter Ausschluss eingebürgerter Arten zu verwenden sind. Nebenbaumarten dürfen dabei nicht als Hauptbaumarten eingesetzt werden,</w:t>
      </w:r>
    </w:p>
    <w:p>
      <w:r>
        <w:t xml:space="preserve">Bäume mit Horsten und Höhlen nicht gefällt werden dürfen,</w:t>
      </w:r>
    </w:p>
    <w:p>
      <w:r>
        <w:t xml:space="preserve">§ 4 Abs. 2 Nr. 23 gilt;</w:t>
      </w:r>
    </w:p>
    <w:p>
      <w:r>
        <w:t xml:space="preserve">für den Bereich Jagd in der Zone 1:</w:t>
      </w:r>
    </w:p>
    <w:p>
      <w:r>
        <w:t xml:space="preserve">Maßnahmen zur Bestandsreduzierung von Schalenwild, wenn dies zur Umsetzung des Schutzzwecks nach § 3 oder zur Abwehr von Wildschäden auf angrenzenden forst- und landwirtschaftlichen Flächen notwendig ist. Die Bestandsreduzierung kann durch Gesellschaftsjagden im Zeitraum vom 15. Oktober eines jeden Jahres bis zum 31. Januar des Folgejahres erfolgen;</w:t>
      </w:r>
    </w:p>
    <w:p>
      <w:r>
        <w:t xml:space="preserve">für den Bereich Jagd außerhalb der Zone 1:</w:t>
      </w:r>
    </w:p>
    <w:p>
      <w:r>
        <w:t xml:space="preserve">die rechtmäßige Ausübung der Jagd außerhalb der Zone 1 mit der Maßgabe, dass aa)</w:t>
      </w:r>
    </w:p>
    <w:p>
      <w:r>
        <w:t xml:space="preserve">die Durchführung von Gesellschaftsjagden nur in der Zeit vom 15. Oktober eines Jahres bis zum 31. Januar des Folgejahres zulässig ist,</w:t>
      </w:r>
    </w:p>
    <w:p>
      <w:r>
        <w:t xml:space="preserve">bb)</w:t>
      </w:r>
    </w:p>
    <w:p>
      <w:r>
        <w:t xml:space="preserve">die Jagd auf Wasservögel verboten ist,</w:t>
      </w:r>
    </w:p>
    <w:p>
      <w:r>
        <w:t xml:space="preserve">die Errichtung ortsunveränderlicher jagdlicher Einrichtungen zur Ansitzjagd mit Zustimmung der unteren Naturschutzbehörde. Die Zustimmung ist zu erteilen, wenn der Schutzzweck nicht beeinträchtigt wird.</w:t>
      </w:r>
    </w:p>
    <w:p>
      <w:r>
        <w:t xml:space="preserve">Transportable und mobile Ansitzeinrichtungen sind der unteren Naturschutzbehörde vor der Errichtung anzuzeigen. Die Naturschutzbehörde kann in begründeten Einzelfällen das Aufstellen verbieten, wenn es dem Schutzzweck entgegensteht. Die Entscheidung hierzu soll unverzüglich erfolgen,</w:t>
      </w:r>
    </w:p>
    <w:p>
      <w:r>
        <w:t xml:space="preserve">die Anlage von Kirrungen nur außerhalb gesetzlich geschützter Biotope zulässig ist.</w:t>
      </w:r>
    </w:p>
    <w:p>
      <w:r>
        <w:t xml:space="preserve">Im Übrigen bleiben die Anlage von Wildfütterungen, Ansaatwildwiesen und Wildäckern unzulässig;</w:t>
      </w:r>
    </w:p>
    <w:p>
      <w:r>
        <w:t xml:space="preserve">erforderliche Hegemaßnahmen gemäß § 1 der Fischereiordnung des Landes Brandenburg im Sinne eines Monitorings mit Genehmigung der unteren Naturschutzbehörde; die Genehmigung ist zu erteilen, wenn der Schutzzweck nicht beeinträchtigt wird;</w:t>
      </w:r>
    </w:p>
    <w:p>
      <w:r>
        <w:t xml:space="preserve">das nichtgewerbliche Sammeln von Pilzen und Wildfrüchten außerhalb der Zone 1;</w:t>
      </w:r>
    </w:p>
    <w:p>
      <w:r>
        <w:t xml:space="preserve">der Zugang zum Naturlehrpfad „Luttchensberg“ und dem Tornower Gedenkstein;</w:t>
      </w:r>
    </w:p>
    <w:p>
      <w:r>
        <w:t xml:space="preserve">die im Sinne des § 10 des Brandenburgischen Straßengesetzes ordnungsgemäße Unterhaltung der dem öffentlichen Verkehr gewidmeten Straßen und Wege, die im Sinne der §§ 28 des Wasserhaushaltsgesetzes und 78 des Brandenburgischen Wassergesetzes ordnungsgemäße Unterhaltung der Gewässer sowie die ordnungsgemäße Unterhaltung sonstiger rechtmäßig bestehender Anlagen außerhalb der Zone 1 jeweils im Einvernehmen mit der unteren Naturschutzbehörde;</w:t>
      </w:r>
    </w:p>
    <w:p>
      <w:r>
        <w:t xml:space="preserve">die sonstigen bei In-Kraft-Treten dieser Verordnung auf Grund behördlicher Einzelfallentscheidung rechtmäßig ausgeübten Nutzungen und Befugnisse in der bisherigen Art und im bisherigen Umfang;</w:t>
      </w:r>
    </w:p>
    <w:p>
      <w:r>
        <w:t xml:space="preserve">die Durchführung von Maßnahmen auf der Grundlage von Sanierungsplänen nach § 12 des Gesetzes zur Regionalplanung und zur Braunkohlen- und Sanierungsplanung im Land Brandenburg bei sicherheitstechnisch notwendigen Maßnahmen im Benehmen sowie bei allen weiteren Maßnahmen, wie zum Beispiel Maßnahmen zur Oberflächengestaltung im Einvernehmen mit dem Landesamt für Umwelt als Fachbehörde für Naturschutz und Landschaftspflege;</w:t>
      </w:r>
    </w:p>
    <w:p>
      <w:r>
        <w:t xml:space="preserve">Maßnahmen zur Untersuchung von altlastverdächtigen Flächen und Verdachtsflächen sowie Maßnahmen der Altlastensanierung und der Sanierung schädlicher Bodenveränderungen gemäß Bundes-Bodenschutzgesetz im Einvernehmen mit der unteren Naturschutzbehörde;</w:t>
      </w:r>
    </w:p>
    <w:p>
      <w:r>
        <w:t xml:space="preserve">Schutz-, Pflege- und Entwicklungsmaßnahmen sowie Maßnahmen der Besucherlenkung, die von der zuständigen Naturschutzbehörde angeordnet beziehungsweise genehmigt worden sind;</w:t>
      </w:r>
    </w:p>
    <w:p>
      <w:r>
        <w:t xml:space="preserve">behördliche sowie behördlich angeordnete oder zugelassene Beschilderungen, soweit sie auf den Schutzzweck des Gebietes hinweisen oder als hoheitliche Kennzeichnungen, Orts- oder Verkehrshinweise, Wegemarkierungen oder Warntafeln dienen; sowie die Beschilderung des Naturlehrpfades „Luttchensberg“ und des Tornower Gedenksteins;</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Sie gelten unbeschadet anderer Regelungen weiterhin nicht für Eigentümer zur Durchführung von Maßnahmen zur Sicherung des Bestandes und der zulässigen Nutzung des Eigentums sowie für das Betreten und Befahren, soweit dies zur Ausübung der nach Absatz 1 zulässigen Handlungen erforderlich ist; das Gestattungserfordernis nach § 16 Abs. 2 des Waldgesetzes des Landes Brandenburg bleibt unberührt.</w:t>
      </w:r>
    </w:p>
    <w:p>
      <w:r>
        <w:rPr>
          <w:color w:val="555555"/>
          <w:sz w:val="17"/>
        </w:rPr>
        <w:t xml:space="preserve">Zitiervorschlag: § 6 VO-NSGTORNOWNIED_2016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https://recht.nulegal.eu/gesetze/VO-NSGTORNOWNIED_2016/6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