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VO-NSGTHYMEN_2015 (Brandenburg) — Schutzzweck</w:t>
      </w:r>
    </w:p>
    <w:p>
      <w:r>
        <w:rPr>
          <w:color w:val="555555"/>
          <w:sz w:val="18"/>
        </w:rPr>
        <w:t xml:space="preserve">Verordnung über das Naturschutzgebiet „Thymen“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Schutzzweck des Naturschutzgebietes ist</w:t>
      </w:r>
    </w:p>
    <w:p>
      <w:r>
        <w:t xml:space="preserve">die Erhaltung, Wiederherstellung und Entwicklung der Lebensstätten wild lebender Pflanzengesellschaften, insbesondere Buchen-, Eschen-Erlenwälder, Erlen-Bruch-Sumpfwaldgesellschaften, Schwimmblatt- und Tauchflurengesellschaften nährstoffarmer Seen und Gesellschaften der Torfmoos-, Seggen- und Röhrichtmoore und Grünlandgesellschaften;</w:t>
      </w:r>
    </w:p>
    <w:p>
      <w:r>
        <w:t xml:space="preserve">die Erhaltung und Entwicklung der Lebensstätten wild lebender Pflanzenarten, darunter im Sinne von § 7 Absatz 2 Nummer 13 des Bundesnaturschutzgesetzes besonders geschützter Arten, insbesondere Breitblättriges Knabenkraut (Dactylorhiza majalis), Steifblättriges Knabenkraut (Dactylorhiza incarnata), Rundblättriger Sonnentau (Drosera rotundifolia), Sumpfiris (Iris pseudacorus), Fieberklee (Menyanthes trifoliata), Zungenhahnenfuß (Ranunculus lingua), Krebsschere (Stratiotes aloides) und Sandstrohblume (Helichrysum arenarium);</w:t>
      </w:r>
    </w:p>
    <w:p>
      <w:r>
        <w:t xml:space="preserve">die Erhaltung und Entwicklung des Gebietes als Lebens- beziehungsweise Rückzugsraum sowie potenzielles Wiederausbreitungszentrum wild lebender Tierarten, darunter im Sinne von § 7 Absatz 2 Nummer 13 des Bundesnaturschutzgesetzes besonders geschützte Arten, insbesondere Seeadler (Haliaeetus albicilla), Kranich (Grus grus), Große Rohrdommel (Botaurus stellaris), Schellente (Bucephala clangula), Heidelerche (Lullula arborea), Mittelspecht (Dendrocopus medius), Roter Milan (Milvus milvus), Gemeine Keiljungfer (Gomphus vulgatissimus), Grüne Mosaikjungfer (Aeshna viridis), Nordische Moosjungfer (Leucorrhinia rubicunda) und Sumpfschrecke (Stethophyma grossum);</w:t>
      </w:r>
    </w:p>
    <w:p>
      <w:r>
        <w:t xml:space="preserve">die Erhaltung von Stand- und Fließgewässern, wie nährstoffarme Klarwasserseen, natürlich eutrophe Seen, Moorseen und Sölle mit ihren Binneneinzugsgebieten;</w:t>
      </w:r>
    </w:p>
    <w:p>
      <w:r>
        <w:t xml:space="preserve">die Erhaltung der besonderen Eigenart und hervorragenden Schönheit einer reich gegliederten Landschaft mit ausgedehnten Wäldern und einem Mosaik von Biotopen und Landschaftselementen, wie zum Beispiel Feucht- und Frischwiesen, Mager- und Trockenrasen, artenreichen Äckern, Hecken und Alleen;</w:t>
      </w:r>
    </w:p>
    <w:p>
      <w:r>
        <w:t xml:space="preserve">die Erhaltung und Entwicklung des Gebietes als wesentlicher Teil des überregionalen Biotopverbundes zwischen den Lychener und Fürstenberger Gewässern sowie den Havelgewässern.</w:t>
      </w:r>
    </w:p>
    <w:p>
      <w:r>
        <w:t xml:space="preserve">(2) Die Unterschutzstellung dient der Erhaltung und Entwicklung des Gebietes von gemeinschaftlicher Bedeutung „Thymen“ (§ 7 Absatz 1 Nummer 6 des Bundesnaturschutzgesetzes) mit seinen Vorkommen von</w:t>
      </w:r>
    </w:p>
    <w:p>
      <w:r>
        <w:t xml:space="preserve">Natürlichen eutrophen Seen mit einer Vegetation des Magnopotamions oder Hydrocharitions, Dystrophen Seen und Teichen, Flüssen der planaren bis montanen Stufe mit Vegetation des Ranunculion fluitantis und des Callitricho-Batrachion, Pfeifengraswiesen auf kalkreichem Boden, torfigen oder tonig-schluffigen Böden (Molinion caeruleae), Übergangs- und Schwingrasenmooren, Torfmoor-Schlenken (Rhynchosporion) und Kalkreichen Niedermooren als natürliche Lebensraumtypen von gemeinschaftlichem Interesse im Sinne von § 7 Absatz 1 Nummer 4 des Bundesnaturschutzgesetzes;</w:t>
      </w:r>
    </w:p>
    <w:p>
      <w:r>
        <w:t xml:space="preserve">Schlucht- und Hangmischwäldern Tilio-Acerion, Auen-Wäldern mit Alnus glutinosa und Fraxinus excelsior (Alno-Padion, Alnion incanae, Salicion albae) und Moorwäldern als prioritäre natürliche Lebensraumtypen im Sinne von § 7 Absatz 1 Nummer 5 des Bundesnaturschutzgesetzes;</w:t>
      </w:r>
    </w:p>
    <w:p>
      <w:r>
        <w:t xml:space="preserve">Biber (Castor fiber), Fischotter (Lutra lutra), Bachneunauge (Lampetra planeri), Rapfen (Aspius aspius), Großer Moosjungfer (Leucorrhinia pectoralis), Bauchiger Windelschnecke (Vertigo moulinsiana) und Kleiner Flussmuschel (Unio crassus) als Arten von gemeinschaftlichem Interesse im Sinne von § 7 Absatz 2 Nummer 10 des Bundesnaturschutzgesetzes, einschließlich ihrer für Fortpflanzung, Ernährung, Wanderung und Überwinterung wichtigen Lebensräume.</w:t>
      </w:r>
    </w:p>
    <w:p>
      <w:r>
        <w:t xml:space="preserve">(3) Darüber hinaus ist besonderer Schutzzweck der Zone 1 (Naturentwicklungsgebiete) die weitgehend eigen-dynamische und störungsfreie Entwicklung naturnaher Waldgesellschaften, Seen und Moore sowie deren wissenschaftliche Untersuchung.</w:t>
      </w:r>
    </w:p>
    <w:p>
      <w:r>
        <w:rPr>
          <w:color w:val="555555"/>
          <w:sz w:val="17"/>
        </w:rPr>
        <w:t xml:space="preserve">Zitiervorschlag: § 3 VO-NSGTHYMEN_2015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https://recht.nulegal.eu/gesetze/VO-NSGTHYMEN_2015/3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