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VO-NSGTALSPERRESPREMBERG_2004 (Brandenburg) — Schutzzweck</w:t>
      </w:r>
    </w:p>
    <w:p>
      <w:r>
        <w:rPr>
          <w:color w:val="555555"/>
          <w:sz w:val="18"/>
        </w:rPr>
        <w:t xml:space="preserve">Verordnung über das Naturschutzgebiet „Talsperre Spremberg“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im Bereich des Durchbruchtales der Spree durch den Lausitzer Grenzwall im Lausitzer Becken- und Heideland ist</w:t>
      </w:r>
    </w:p>
    <w:p>
      <w:r>
        <w:t xml:space="preserve">die Erhaltung und Entwicklung als Lebensraum wild lebender Pflanzengesellschaften, insbesondere der Gewässer und Auen mit zeitweise trockenfallenden Sand- und Schlammflächen, der Röhrichte, der Feucht- und Frischwiesen sowie der Trockenrasen und Heiden mit offenen Sandflächen in den Rand- und Böschungsbereichen;</w:t>
      </w:r>
    </w:p>
    <w:p>
      <w:r>
        <w:t xml:space="preserve">die Erhaltung und Entwicklung der Lebensräume wild lebender Pflanzenarten, darunter nach § 10 Abs. 2 Nr. 10 des Bundesnaturschutzgesetzes besonders geschützter Arten, beispielweise Wasser-Schwertlilie (Iris pseudacorus), Heide-Nelke (Dianthus deltoides) und Sandstrohblume (Helichrysum arenarium);</w:t>
      </w:r>
    </w:p>
    <w:p>
      <w:r>
        <w:t xml:space="preserve">die Erhaltung und Entwicklung des Gebietes als Lebensraum wild lebender Tierarten, insbesondere als bedeutendes Brut-, Rast- und Überwinterungsgebiet für Sumpf- und Wasservögel, sowie als Reproduktionsgebiet für Amphibien und Reptilien, darunter nach § 10 Abs. 2 Nr. 10 und 11 des Bundesnaturschutzgesetzes besonders und streng geschützter Arten, beispielsweise Rohrweihe (Circus aeruginosus), Rotschenkel (Tringa totanus), Tüpfelralle (Porzana porzana), Eisvogel (Alcedo atthis), Drosselrohrsänger (Acrocephalus arundinaceus), Moorfrosch (Rana arvalis) und Zauneidechse (Lacerta agilis);</w:t>
      </w:r>
    </w:p>
    <w:p>
      <w:r>
        <w:t xml:space="preserve">die Erhaltung und Entwicklung des Gebietes als wesentlicher Teil des überregionalen Biotopverbundes zwischen den Gewässern der Oberlausitz und den Teichgebieten der Niederlausitz.</w:t>
      </w:r>
    </w:p>
    <w:p>
      <w:r>
        <w:t xml:space="preserve">(2) Die Unterschutzstellung dient der Erhaltung und Entwicklung des Gebietes von gemeinschaftlicher Bedeutung „Talsperre Spremberg“ (§ 7 Absatz 1 Nummer 6 des Bundesnaturschutzgesetzes) mit seinen Vorkommen</w:t>
      </w:r>
    </w:p>
    <w:p>
      <w:r>
        <w:t xml:space="preserve">von Oligo- bis mesotrophen stehenden Gewässern mit Vegetation der Isoeto-Nanojuncetea, Natürlichen eutrophen Seen mit einer Vegetation des Magnopotamions oder Hydrocharitions, Flüssen der planaren bis montanen Stufe mit Vegetation des Ranunculion fluitantis und des Callitricho-Batrachion und Feuchten Hochstaudenfluren der planaren und montanen bis alpinen Stufe als natürlichen Lebensraumtypen von gemeinschaftlichem Interesse im Sinne von § 7 Absatz 1 Nummer 4 des Bundesnaturschutzgesetzes;</w:t>
      </w:r>
    </w:p>
    <w:p>
      <w:r>
        <w:t xml:space="preserve">von Auen-Wäldern mit Alnus glutinosa und Fraxinus excelsior (Alnio-Padion, Alnion incanae, Salicion albae) als prioritärem natürlichen Lebensraumtyp im Sinne von § 7 Absatz 1 Nummer 5 des Bundesnaturschutzgesetzes;</w:t>
      </w:r>
    </w:p>
    <w:p>
      <w:r>
        <w:t xml:space="preserve">des Fischotters (Lutra lutra) als Art von gemeinschaftlichem Interesse im Sinne von § 7 Absatz 2 Nummer 10 des Bundesnaturschutzgesetzes, einschließlich seiner für Fortpflanzung, Ernährung, Wanderung und Überwinterung wichtigen Lebensräume.</w:t>
      </w:r>
    </w:p>
    <w:p>
      <w:r>
        <w:rPr>
          <w:color w:val="555555"/>
          <w:sz w:val="17"/>
        </w:rPr>
        <w:t xml:space="preserve">Zitiervorschlag: § 3 VO-NSGTALSPERRESPREMBERG_2004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https://recht.nulegal.eu/gesetze/VO-NSGTALSPERRESPREMBERG_2004/3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VO-NSGTALSPERRESPREMBERG_2004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