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VO-NSGSTINTGRABEN (Brandenburg) — Verbote</w:t>
      </w:r>
    </w:p>
    <w:p>
      <w:r>
        <w:rPr>
          <w:color w:val="555555"/>
          <w:sz w:val="18"/>
        </w:rPr>
        <w:t xml:space="preserve">Verordnung über das Naturschutzgebiet „Stintgraben“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dafür zugelassenen Wege zu fahren, Kraftfahrzeuge dort abzustellen, zu warten oder zu pflegen;</w:t>
      </w:r>
    </w:p>
    <w:p>
      <w:r>
        <w:t xml:space="preserve">Wasserfahrzeuge aller Art einschließlich Luftmatratzen zu benutzen;</w:t>
      </w:r>
    </w:p>
    <w:p>
      <w:r>
        <w:t xml:space="preserve">Modellsport oder ferngesteuerte Geräte zu betreiben;</w:t>
      </w:r>
    </w:p>
    <w:p>
      <w:r>
        <w:t xml:space="preserve">außerhalb der dafür zugelassenen Wege zu reiten;</w:t>
      </w:r>
    </w:p>
    <w:p>
      <w:r>
        <w:t xml:space="preserve">zu lagern, Feuer anzuzünden oder in sonstiger Weise Feuer zu verursachen, zu zelten oder Wohnwagen aufzustellen;</w:t>
      </w:r>
    </w:p>
    <w:p>
      <w:r>
        <w:t xml:space="preserve">zu baden, zu tauchen oder Eisflächen zu betreten oder zu befahren;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Pflanzen,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neuanzusäen;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Fische oder Wasservögel zu füttern;</w:t>
      </w:r>
    </w:p>
    <w:p>
      <w:r>
        <w:t xml:space="preserve">Schmutzwasser (unter besonderer Berücksichtigung der Aspekte des Artenschutzes), Gülle, Dünger, Gärfutter oder Klärschlamm auszubringen, einzuleiten, zu lagern oder abzulagern; die §§ 4 und 5 der Klärschlammverordnung bleiben unberührt;</w:t>
      </w:r>
    </w:p>
    <w:p>
      <w:r>
        <w:t xml:space="preserve">Pflanzenschutzmittel anzuwenden;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Kirrungen auf nährstoffarmen Standorten (Moorböden und Trockenrasen) anzulegen.</w:t>
      </w:r>
    </w:p>
    <w:p>
      <w:r>
        <w:rPr>
          <w:color w:val="555555"/>
          <w:sz w:val="17"/>
        </w:rPr>
        <w:t xml:space="preserve">Zitiervorschlag: § 4 VO-NSGSTINTGRABEN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https://recht.nulegal.eu/gesetze/VO-NSGSTINTGRABEN/4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