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VO-NSGSTINTGRABEN (Brandenburg) — Schutzzweck</w:t>
      </w:r>
    </w:p>
    <w:p>
      <w:r>
        <w:rPr>
          <w:color w:val="555555"/>
          <w:sz w:val="18"/>
        </w:rPr>
        <w:t xml:space="preserve">Verordnung über das Naturschutzgebiet „Stintgraben“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Schutzzweck ist die Erhaltung und Entwicklung des Gebietes</w:t>
      </w:r>
    </w:p>
    <w:p>
      <w:r>
        <w:t xml:space="preserve">als Standort seltener, in ihrem Bestand bedrohter wildwachsender Pflanzengesellschaften, insbesondere verschiedener Bruchwaldzonen, Feuchtwiesenbereiche und Ufergehölze;</w:t>
      </w:r>
    </w:p>
    <w:p>
      <w:r>
        <w:t xml:space="preserve">als Lebensraum bestandsbedrohter Tierarten, insbesondere für Entenvögel und Säugetiere, als Laichgebiet seltener Fischarten, vornehmlich des vom Aussterben bedrohten Binnenstintes, sowie als Rückzugsgebiet für bestandsbedrohte Amphibien;</w:t>
      </w:r>
    </w:p>
    <w:p>
      <w:r>
        <w:t xml:space="preserve">aus ökologischen Gründen zum Erhalt und zur Wiederherstellung des Biotopverbundes der Teupitzer Gewässer mit der Dahme.</w:t>
      </w:r>
    </w:p>
    <w:p>
      <w:r>
        <w:t xml:space="preserve">(2) Die Unterschutzstellung dient der Erhaltung und Entwicklung des Gebietes von gemeinschaftlicher Bedeutung „Stintgraben“ (§ 7 Absatz 1 Nummer 6 des Bundesnaturschutzgesetzes) mit seinen Vorkommen von</w:t>
      </w:r>
    </w:p>
    <w:p>
      <w:r>
        <w:t xml:space="preserve">Flüssen der planaren bis montanen Stufe mit Vegetation des Ranunculion fluitantis und des Callitricho-Batrachion, Feuchten Hochstaudenfluren der planaren und montanen bis alpinen Stufe, Pfeifengraswiesen auf kalkreichem Boden, torfigen und tonig-schluffigen Böden (Molinion caeruleae) und Übergangs- und Schwingrasenmooren als natürlichen Lebensraumtypen von gemeinschaftlichem Interesse im Sinne von § 7 Absatz 1 Nummer 4 des Bundesnaturschutzgesetzes;</w:t>
      </w:r>
    </w:p>
    <w:p>
      <w:r>
        <w:t xml:space="preserve">Fischotter (Lutra lutra) und Großem Feuerfalter (Lycaena dispar) als Arten von gemeinschaftlichem Interesse im Sinne von § 7 Absatz 2 Nummer 10 des Bundesnaturschutzgesetzes, einschließlich ihrer für Fortpflanzung, Ernährung, Wanderung und Überwinterung wichtigen Lebensräume.</w:t>
      </w:r>
    </w:p>
    <w:p>
      <w:r>
        <w:rPr>
          <w:color w:val="555555"/>
          <w:sz w:val="17"/>
        </w:rPr>
        <w:t xml:space="preserve">Zitiervorschlag: § 3 VO-NSGSTINTGRABEN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https://recht.nulegal.eu/gesetze/VO-NSGSTINTGRABEN/3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