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VO-NSGSTECHLIN_2015 (Brandenburg) — In-Kraft-Treten, Außer-Kraft-Treten</w:t>
      </w:r>
    </w:p>
    <w:p>
      <w:r>
        <w:rPr>
          <w:color w:val="555555"/>
          <w:sz w:val="18"/>
        </w:rPr>
        <w:t xml:space="preserve">Verordnung über das Naturschutzgebiet „Stechlin“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 Ausgenommen davon sind die Maßgaben zur landwirtschaftlichen Bodennutzung nach § 6 Abs. 1 Nr. 1 Buchstabe b und c, die am 1. Juli 2003 in Kraft treten.</w:t>
      </w:r>
    </w:p>
    <w:p>
      <w:r>
        <w:t xml:space="preserve">(2) Gleichzeitig tritt die Verordnung des Regierungspräsidenten Potsdam vom 6. Mai 1938 über das Naturschutzgebiet „Großer Stechlin-, Nehmitz- und Großer Kruckowsee“ (Amtsblatt der Preußischen Regierung in Potsdam, Jahrgang 1938, Stück 23) außer Kraft.</w:t>
      </w:r>
    </w:p>
    <w:p>
      <w:r>
        <w:rPr>
          <w:color w:val="555555"/>
          <w:sz w:val="17"/>
        </w:rPr>
        <w:t xml:space="preserve">Zitiervorschlag: § 12 VO-NSGSTECHLIN_2015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https://recht.nulegal.eu/gesetze/VO-NSGSTECHLIN_2015/12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