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VO-NSGSKABYERTORFGR_2016 (Brandenburg) — Verhältnis zu anderen naturschutzrechtlichen Bestimmungen</w:t>
      </w:r>
    </w:p>
    <w:p>
      <w:r>
        <w:rPr>
          <w:color w:val="555555"/>
          <w:sz w:val="18"/>
        </w:rPr>
        <w:t xml:space="preserve">Verordnung über das Naturschutzgebiet "Skabyer Torfgraben"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der in dieser Verordnung festgelegten Schutz-, Pflege- und Entwicklungsmaßnahmen und zur Verwirklichung des Schutzzwecks und die Duldung von Maßnahmen des Naturschutzes und der Landschaftspflege richten sich nach den §§ 29 und 68 des Brandenburgischen Naturschutzgesetzes.</w:t>
      </w:r>
    </w:p>
    <w:p>
      <w:r>
        <w:t xml:space="preserve">(2) Soweit nicht anders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(nach den §§ 31 bis 36 des Brandenburgischen Naturschutzgesetzes) und über den Schutz und die Pflege wildlebender Tier- und Pflanzenarten (nach den §§ 20 bis 26 b des Bundesnaturschutzgesetzes und den §§ 37 bis 43 des Brandenburgischen Naturschutzgesetzes) unberührt.</w:t>
      </w:r>
    </w:p>
    <w:p>
      <w:r>
        <w:rPr>
          <w:color w:val="555555"/>
          <w:sz w:val="17"/>
        </w:rPr>
        <w:t xml:space="preserve">Zitiervorschlag: § 8 VO-NSGSKABYERTORFGR_2016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https://recht.nulegal.eu/gesetze/VO-NSGSKABYERTORFGR_2016/8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