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VO-NSGSKABYERTORFGR_2016 (Brandenburg) — Zulässige Handlungen</w:t>
      </w:r>
    </w:p>
    <w:p>
      <w:r>
        <w:rPr>
          <w:color w:val="555555"/>
          <w:sz w:val="18"/>
        </w:rPr>
        <w:t xml:space="preserve">Verordnung über das Naturschutzgebiet "Skabyer Torfgraben"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dieser Verordnung bleiben:</w:t>
      </w:r>
    </w:p>
    <w:p>
      <w:r>
        <w:t xml:space="preserve">die im Sinne des § 11 Abs. 2 des Brandenburgischen Naturschutzgesetzes ordnungsgemäße landwirtschaftliche Bodennutzung;</w:t>
      </w:r>
    </w:p>
    <w:p>
      <w:r>
        <w:t xml:space="preserve">die im Sinne des § 11 Abs. 3 des Brandenburgischen Naturschutzgesetzes ordnungsgemäße forstwirtschaftliche Bodennutzung;</w:t>
      </w:r>
    </w:p>
    <w:p>
      <w:r>
        <w:t xml:space="preserve">die im Sinne des § 11 Abs. 4 des Brandenburgischen Naturschutzgesetzes ordnungsgemäße fischereiwirtschaftliche Flächennutzung und Angelfischerei mit der Maßgabe, daß</w:t>
      </w:r>
    </w:p>
    <w:p>
      <w:r>
        <w:t xml:space="preserve">Fanggeräte und Fangmittel so einzusetzen oder auszustatten sind, daß ein Einschwimmen und eine Gefährdung des Fischotters weitgehend ausgeschlossen ist,</w:t>
      </w:r>
    </w:p>
    <w:p>
      <w:r>
        <w:t xml:space="preserve">für die Angelfischerei vorgesehene Flächen, soweit sie nicht bereits in den topographischen Karten zu dieser Verordnung gekennzeichnet sind, nur im Einvernehmen mit der unteren Naturschutzbehörde festgelegt werden,</w:t>
      </w:r>
    </w:p>
    <w:p>
      <w:r>
        <w:t xml:space="preserve">die Elektrofischerei im Einvernehmen mit der zuständigen Fischereibehörde und der unteren Naturschutzbehörde erfolgt;</w:t>
      </w:r>
    </w:p>
    <w:p>
      <w:r>
        <w:t xml:space="preserve">die Jagd mit der Maßgabe des § 4 Abs. 2 Nr. 25;</w:t>
      </w:r>
    </w:p>
    <w:p>
      <w:r>
        <w:t xml:space="preserve">die ordnungsgemäße Unterhaltung der Gewässer und rechtmäßig bestehender Anlagen einschließlich der dem öffentlichen Verkehr gewidmeten Straßen und Wege im Einvernehmen mit der unteren Naturschutzbehörde. Der Herstellung des Einvernehmens bedarf es nicht, soweit es sich um unaufschiebbare Maßnahmen handelt;</w:t>
      </w:r>
    </w:p>
    <w:p>
      <w:r>
        <w:t xml:space="preserve">die sonstigen bei Inkrafttreten dieser Verordnung auf Grund behördlicher Einzelfallentscheidung rechtmäßig ausgeübten Nutzungen und Befugnisse in der bisherigen Art und im bisherigen Umfang;</w:t>
      </w:r>
    </w:p>
    <w:p>
      <w:r>
        <w:t xml:space="preserve">Maßnahmen zur Untersuchung von Altlastverdachtsflächen und Maßnahmen der Altlastensanierung im Einvernehmen mit der unteren Naturschutzbehörde. Der Herstellung des Einvernehmens bedarf es nicht, soweit es sich um unaufschiebbare Maßnahmen handelt;</w:t>
      </w:r>
    </w:p>
    <w:p>
      <w:r>
        <w:t xml:space="preserve">Schutz-, Pflege- und Entwicklungsmaßnahmen, die von der zuständigen Naturschutzbehörde angeordnet worden sind;</w:t>
      </w:r>
    </w:p>
    <w:p>
      <w:r>
        <w:t xml:space="preserve">behördlich angeordnete oder zugelassene Beschilderungen.</w:t>
      </w:r>
    </w:p>
    <w:p>
      <w:r>
        <w:t xml:space="preserve">(2) Die in § 4 dieser Verordnung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Der Genehmigungsvorbehalt nach § 19 Abs. 3 Satz 2 des Landeswaldgesetzes bleibt unberührt.</w:t>
      </w:r>
    </w:p>
    <w:p>
      <w:r>
        <w:rPr>
          <w:color w:val="555555"/>
          <w:sz w:val="17"/>
        </w:rPr>
        <w:t xml:space="preserve">Zitiervorschlag: § 5 VO-NSGSKABYERTORFGR_2016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https://recht.nulegal.eu/gesetze/VO-NSGSKABYERTORFGR_2016/5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