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VO-NSGSKABYERTORFGR_2016 (Brandenburg) — Schutzzweck</w:t>
      </w:r>
    </w:p>
    <w:p>
      <w:r>
        <w:rPr>
          <w:color w:val="555555"/>
          <w:sz w:val="18"/>
        </w:rPr>
        <w:t xml:space="preserve">Verordnung über das Naturschutzgebiet "Skabyer Torfgraben"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ist die Erhaltung und Entwicklung des Gebietes</w:t>
      </w:r>
    </w:p>
    <w:p>
      <w:r>
        <w:t xml:space="preserve">als Standort seltener in ihrem Bestand bedrohter wild wachsender Pflanzengesellschaften, insbesondere von Groß- und Kleinseggenrieden, Erlenbrüchen, wechselfeuchten Wiesen und Trockenrasen sowie zum Erhalt der vorhandenen Reste eines mäßig nährstoffversorgten Durchströmungsmoores;</w:t>
      </w:r>
    </w:p>
    <w:p>
      <w:r>
        <w:t xml:space="preserve">als Lebensraum bestandsbedrohter Tierarten, insbesondere als Brut- und Nahrungsgebiet für zahlreiche Vogelarten sowie als Rückzugsgebiet für bestandsbedrohte Insekten, Lurche und Reptilien sowie semiaquatische Säugetiere;</w:t>
      </w:r>
    </w:p>
    <w:p>
      <w:r>
        <w:t xml:space="preserve">aus ökologischen Gründen zur Sicherung der Selbstreinigungskraft des weitgehend intakten Fließgewässersystems mit seiner besonders schützenswerten Unterwasserflora und -fauna;</w:t>
      </w:r>
    </w:p>
    <w:p>
      <w:r>
        <w:t xml:space="preserve">wegen seiner Bedeutung im Rahmen des regionalen Biotopverbundes.</w:t>
      </w:r>
    </w:p>
    <w:p>
      <w:r>
        <w:t xml:space="preserve">(2) Die Unterschutzstellung dient der Erhaltung und Entwicklung des Gebietes von gemeinschaftlicher Bedeutung „Skabyer Torfgraben“ (§ 7 Absatz 1 Nummer 6 des Bundesnaturschutzgesetzes) mit seinen Vorkommen von</w:t>
      </w:r>
    </w:p>
    <w:p>
      <w:r>
        <w:t xml:space="preserve">Flüssen der planaren bis montanen Stufe mit Vegetation des Ranunculion fluitantis und des Callitricho-Batrachion, Feuchten Hochstaudenfluren der planaren und montanen bis alpinen Stufe, Übergangs- und Schwingrasenmooren und Alten bodensauren Eichenwäldern auf Sandebenen mit Quercus robur als natürlichen Lebensraumtypen von gemeinschaftlichem Interesse im Sinne von § 7 Absatz 1 Nummer 4 des Bundesnaturschutzgesetzes;</w:t>
      </w:r>
    </w:p>
    <w:p>
      <w:r>
        <w:t xml:space="preserve">Moorwäldern und Auen-Wäldern mit Alnus glutinosa und Fraxinus excelsior (Alno-Padion, Alnion incanae, Salicion albae) als prioritären natürlichen Lebensraumtypen im Sinne von § 7 Absatz 1 Nummer 5 des Bundesnaturschutzgesetzes;</w:t>
      </w:r>
    </w:p>
    <w:p>
      <w:r>
        <w:t xml:space="preserve">Fischotter (Lutra lutra), Schlammpeitzger (Misgurnus fossilis) und Großem Feuerfalter (Lycaena dispar) als Arten von gemeinschaftlichem Interesse im Sinne von § 7 Absatz 2 Nummer 10 des Bundesnaturschutzgesetzes, einschließlich ihrer für Fortpflanzung, Ernährung, Wanderung und Überwinterung wichtigen Lebensräume.</w:t>
      </w:r>
    </w:p>
    <w:p>
      <w:r>
        <w:rPr>
          <w:color w:val="555555"/>
          <w:sz w:val="17"/>
        </w:rPr>
        <w:t xml:space="preserve">Zitiervorschlag: § 3 VO-NSGSKABYERTORFGR_2016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https://recht.nulegal.eu/gesetze/VO-NSGSKABYERTORFGR_2016/3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