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VO-NSGSALVEYTAL_2015 (Brandenburg) — Verhältnis zu anderen naturschutzrechtlichen Bestimmungen</w:t>
      </w:r>
    </w:p>
    <w:p>
      <w:r>
        <w:rPr>
          <w:color w:val="555555"/>
          <w:sz w:val="18"/>
        </w:rPr>
        <w:t xml:space="preserve">Verordnung über das Naturschutzgebiet „Salveytal“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Schutzwecks und die Duldung von Maßnahmen des Naturschutzes und der Landschaftspflege richten sich nach den §§ 29 und 68 des Brandenburgischen Naturschutzgesetzes.</w:t>
      </w:r>
    </w:p>
    <w:p>
      <w:r>
        <w:t xml:space="preserve">(2) Die Vorschriften dieser Verordnung gehen anderen naturschutzrechtlichen Schutzausweisungen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VO-NSGSALVEYTAL_2015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https://recht.nulegal.eu/gesetze/VO-NSGSALVEYTAL_2015/9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