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 VO-NSGSALVEYTAL_2015 (Brandenburg) — Schutzzweck</w:t>
      </w:r>
    </w:p>
    <w:p>
      <w:r>
        <w:rPr>
          <w:color w:val="555555"/>
          <w:sz w:val="18"/>
        </w:rPr>
        <w:t xml:space="preserve">Verordnung über das Naturschutzgebiet „Salveytal“</w:t>
      </w:r>
    </w:p>
    <w:p>
      <w:r>
        <w:rPr>
          <w:color w:val="555555"/>
          <w:sz w:val="18"/>
        </w:rPr>
        <w:t xml:space="preserve">Landesrecht Brandenburg</w:t>
      </w:r>
    </w:p>
    <w:p>
      <w:r>
        <w:rPr>
          <w:color w:val="555555"/>
          <w:sz w:val="18"/>
        </w:rPr>
        <w:t xml:space="preserve">Stand: 02.08.2026 (konsolidierte Textfassung, kein amtliches Inkrafttretensdatum)</w:t>
      </w:r>
    </w:p>
    <w:p>
      <w:r>
        <w:t xml:space="preserve">(1) Schutzzweck des Naturschutzgebietes, das ein reich gegliedertes Mosaik unterschiedlicher, typisch ausgeprägter Lebensräume der Bachauen und der trockenen Hanglagen umfasst, ist</w:t>
      </w:r>
    </w:p>
    <w:p>
      <w:r>
        <w:t xml:space="preserve">die Erhaltung und Entwicklung als Lebensraum wild lebender Pflanzengesellschaften, insbesondere der Schwimmblatt- und Röhrichtgesellschaften in den Mühlenteichen, der Erlenbruch-Wälder, der Eichen-Hainbuchen-Wälder, der bodensauren Eichen-Mischwälder und der trockenwarmen Eichen-Mischwälder, der reichen Feuchtwiesen, der Großseggenwiesen sowie der Trockenrasen, Frischwiesen und -weiden in den Niederungen der Bachläufe und an den Hängen;</w:t>
      </w:r>
    </w:p>
    <w:p>
      <w:r>
        <w:t xml:space="preserve">die Erhaltung und Entwicklung der Lebensräume wild lebender Pflanzenarten, darunter nach § 10 Abs. 2 Nr. 10 des Bundesnaturschutzgesetzes besonders geschützter Arten, beispielsweise Karthäuser-Nelke (Dianthus carthusianorum), Kreuz-Enzian (Gentiana cruciata), Sand-Strohblume (Helichrysum arenarium), Federgras (Stipa spec.), Wasser-Schwertlilie (Iris pseudacorus), Gelbe Teichrose (Nuphar lutea) und Weiße Seerose (Nymphea alba);</w:t>
      </w:r>
    </w:p>
    <w:p>
      <w:r>
        <w:t xml:space="preserve">die Erhaltung und Entwicklung des Gebietes als Lebens- beziehungsweise Rückzugsraum und potenzielles Wiederausbreitungszentrum wild lebender Tierarten, insbesondere der Säugetiere, Vögel, Lurche, Gliederfüßler, Krebse und Weichtiere, darunter nach § 10 Abs. 2 Nr. 10 und 11 des Bundesnaturschutzgesetzes besonders und streng geschützter Arten, insbesondere von Grauammer (Emberiza calandra), Sperbergrasmücke (Sylvia nisoria), Eisvogel (Alcedo atthis), Schilfrohrsänger (Acrocephalus schoenobaenus), Grünspecht (Picus viridis), Wechselkröte (Bufo viridis), Knoblauchkröte (Pelobates fuscus), Moorfrosch (Rana arvalis), Libelle, Tagfalter wie Kaisermantel (Agrynnis paphia) und Perlgrasfalter (Choenonympha arcania), Rosenkäfer (Cetonia aurata), Edelkrebs (Astacus astacus) und Gemeiner Teichmuschel (Anodonta cygnea);</w:t>
      </w:r>
    </w:p>
    <w:p>
      <w:r>
        <w:t xml:space="preserve">die Erhaltung der Mühlteiche aus landeskundlichen Gründen;</w:t>
      </w:r>
    </w:p>
    <w:p>
      <w:r>
        <w:t xml:space="preserve">die Erhaltung der Fließgewässer aus wissenschaftlichen Gründen zur Beobachtung und Erforschung der Gewässerfauna;</w:t>
      </w:r>
    </w:p>
    <w:p>
      <w:r>
        <w:t xml:space="preserve">die Erhaltung der Bachauen und der angrenzenden Hänge mit ihrem Mosaik von Wald- und Gehölzbeständen sowie Offenlandstandorten wegen ihrer Seltenheit, Vielfalt und hervorragenden Schönheit;</w:t>
      </w:r>
    </w:p>
    <w:p>
      <w:r>
        <w:t xml:space="preserve">die Erhaltung und die Entwicklung des überregional bedeutsamen Biotopverbundes der Fließgewässer und der Trockenstandorte.</w:t>
      </w:r>
    </w:p>
    <w:p>
      <w:r>
        <w:t xml:space="preserve">(2) Die Unterschutzstellung dient der Erhaltung und Entwicklung des Gebietes von gemeinschaftlicher Bedeutung „Salveytal“ (§ 7 Absatz 1 Nummer 6 des Bundesnaturschutzgesetzes) mit seinen Vorkommen von</w:t>
      </w:r>
    </w:p>
    <w:p>
      <w:r>
        <w:t xml:space="preserve">Flüssen der planaren bis montanen Stufe mit Vegetation des Ranunculion fluitantis und des Callitricho-Batrachion, Naturnahen Kalk-Trockenrasen und deren Verbuschungsstadien und Feuchten Hochstaudenfluren der planaren und montanen bis alpinen Stufe als natürliche Lebensraumtypen von gemeinschaftlichem Interesse im Sinne von § 7 Absatz 1 Nummer 4 des Bundesnaturschutzgesetzes;</w:t>
      </w:r>
    </w:p>
    <w:p>
      <w:r>
        <w:t xml:space="preserve">Subpannonischen Steppen-Trockenrasen und Auen-Wäldern mit Alnus glutinosa und Fraxinus excelsior (Alno-Padion, Alnion incanae, Salicion albae) als prioritäre natürliche Lebensraumtypen im Sinne von § 7 Absatz 1 Nummer 5 des Bundesnaturschutzgesetzes;</w:t>
      </w:r>
    </w:p>
    <w:p>
      <w:r>
        <w:t xml:space="preserve">Biber (Castor fiber), Fischotter (Lutra lutra), Rotbauchunke (Bombina bombina), Kammmolch (Triturus cristatus), Schlammpeitzger (Misgurnus fossilis) und Steinbeißer (Cobitis taenia) als Arten von gemeinschaftlichem Interesse im Sinne von § 7 Absatz 2 Nummer 10 des Bundesnaturschutzgesetzes, einschließlich ihrer für Fortpflanzung, Ernährung, Wanderung und Überwinterung wichtigen Lebensräume.</w:t>
      </w:r>
    </w:p>
    <w:p>
      <w:r>
        <w:rPr>
          <w:color w:val="555555"/>
          <w:sz w:val="17"/>
        </w:rPr>
        <w:t xml:space="preserve">Zitiervorschlag: § 3 VO-NSGSALVEYTAL_2015 (Brandenburg)</w:t>
      </w:r>
    </w:p>
    <w:p>
      <w:r>
        <w:rPr>
          <w:color w:val="555555"/>
          <w:sz w:val="17"/>
        </w:rPr>
        <w:t xml:space="preserve">Quelle: bravors, abgerufen 02.08.2026</w:t>
      </w:r>
    </w:p>
    <w:p>
      <w:r>
        <w:rPr>
          <w:color w:val="555555"/>
          <w:sz w:val="17"/>
        </w:rPr>
        <w:t xml:space="preserve">Nicht-amtliche Lesefassung — verbindlich ist das Gesetz- und Verordnungsblatt für das Land Brandenburg (landesrecht.brandenburg.de: https://www.landesrecht.brandenburg.de)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https://recht.nulegal.eu/gesetze/VO-NSGSALVEYTAL_2015/3</w:t>
      </w:r>
    </w:p>
    <w:p>
      <w:r>
        <w:rPr>
          <w:color w:val="767676"/>
          <w:sz w:val="15"/>
        </w:rPr>
        <w:t xml:space="preserve">nu:legal · recht.nulegal.eu · Nicht-amtliche Lesefassung. Amtliche Fassung: landesrecht.brandenburg.de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