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VO-NSGSALVEYTAL_2015 (Brandenburg) — In-Kraft-Treten</w:t>
      </w:r>
    </w:p>
    <w:p>
      <w:r>
        <w:rPr>
          <w:color w:val="555555"/>
          <w:sz w:val="18"/>
        </w:rPr>
        <w:t xml:space="preserve">Verordnung über das Naturschutzgebiet „Salveytal“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 Ausgenommen sind die Maßgaben zur landwirtschaftlichen Bodennutzung nach § 5 Abs. 1 Nr. 1 Buchstabe a bis d, die am 1. Juli 2004 in Kraft treten.</w:t>
      </w:r>
    </w:p>
    <w:p>
      <w:r>
        <w:t xml:space="preserve">Potsdam, den 18. August 2003</w:t>
      </w:r>
    </w:p>
    <w:p>
      <w:r>
        <w:t xml:space="preserve">Der Minister für Landwirtschaft,</w:t>
      </w:r>
    </w:p>
    <w:p>
      <w:r>
        <w:t xml:space="preserve">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11 VO-NSGSALVEYTAL_2015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https://recht.nulegal.eu/gesetze/VO-NSGSALVEYTAL_2015/11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