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VO-NSGPOSTLUCHGANZ_2016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„Postluch Ganz“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Es werden folgende Pflege- und Entwicklungsmaßnahmen festgelegt:</w:t>
      </w:r>
    </w:p>
    <w:p>
      <w:r>
        <w:t xml:space="preserve">behutsame Wiedervernässung durch geregelten Wassereinstau in Abstimmung mit der zuständigen Wasserbehörde;</w:t>
      </w:r>
    </w:p>
    <w:p>
      <w:r>
        <w:t xml:space="preserve">Entbuschungen und Gehölzbeseitigung auf partiell trockenen Flächen.</w:t>
      </w:r>
    </w:p>
    <w:p>
      <w:r>
        <w:rPr>
          <w:color w:val="555555"/>
          <w:sz w:val="17"/>
        </w:rPr>
        <w:t xml:space="preserve">Zitiervorschlag: § 6 VO-NSGPOSTLUCHGANZ_2016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https://recht.nulegal.eu/gesetze/VO-NSGPOSTLUCHGANZ_2016/6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VO-NSGPOSTLUCHGANZ_2016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