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VO-NSGPOSTLUCHGANZ_2016 (Brandenburg) — Zulässige Handlungen</w:t>
      </w:r>
    </w:p>
    <w:p>
      <w:r>
        <w:rPr>
          <w:color w:val="555555"/>
          <w:sz w:val="18"/>
        </w:rPr>
        <w:t xml:space="preserve">Verordnung über das Naturschutzgebiet „Postluch Ganz“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w:t>
      </w:r>
    </w:p>
    <w:p>
      <w:r>
        <w:t xml:space="preserve">die im Sinne des § 11 Abs. 3 des Brandenburgischen Naturschutzgesetzes ordnungsgemäße forstwirtschaftliche Bodennutzung in der bisherigen Art und im bisherigen Umfang auf den bisher dafür genutzten Flächen mit der Maßgabe, daß</w:t>
      </w:r>
    </w:p>
    <w:p>
      <w:r>
        <w:t xml:space="preserve">die Ausbringung von fremdländischen Baumarten verboten ist,</w:t>
      </w:r>
    </w:p>
    <w:p>
      <w:r>
        <w:t xml:space="preserve">Kahlschläge über 1 Hektar verboten sind;</w:t>
      </w:r>
    </w:p>
    <w:p>
      <w:r>
        <w:t xml:space="preserve">die rechtmäßige Ausübung der Jagd mit der Maßgabe, daß</w:t>
      </w:r>
    </w:p>
    <w:p>
      <w:r>
        <w:t xml:space="preserve">das Verbot nach § 4 Abs. 2 Nr. 20 gilt,</w:t>
      </w:r>
    </w:p>
    <w:p>
      <w:r>
        <w:t xml:space="preserve">die Jagd auf Federwild ab dem 15. November eines jeden Jahres bis zum Ende der gesetzlichen Jagdzeit zulässig ist,</w:t>
      </w:r>
    </w:p>
    <w:p>
      <w:r>
        <w:t xml:space="preserve">die Jagd in der Zeit vom 1. März bis zum 30. Juni ausschließlich vom Ansitz gestattet ist,</w:t>
      </w:r>
    </w:p>
    <w:p>
      <w:r>
        <w:t xml:space="preserve">die Jagd auf Fuchs und Schwarzwild vom 1. März bis 30. Juni intensiv erfolgt;</w:t>
      </w:r>
    </w:p>
    <w:p>
      <w:r>
        <w:t xml:space="preserve">die sonstigen bei Inkrafttreten dieser Verordnung auf Grund behördlicher Einzelfallentscheidung rechtmäßig ausgeübten Nutzungen und Befugnisse in der bisherigen Art und im bisherigen Umfang;</w:t>
      </w:r>
    </w:p>
    <w:p>
      <w:r>
        <w:t xml:space="preserve">die Unterhaltung der Gewässer und rechtmäßig bestehender Anlagen, einschließlich der dem öffentlichen Verkehr gewidmeten Straßen und Wege, im Einvernehmen mit der unteren Naturschutzbehörde. Der Herstellung eines Einvernehmens bedarf es nicht, soweit es sich um unaufschiebbare Maßnahmen handelt;</w:t>
      </w:r>
    </w:p>
    <w:p>
      <w:r>
        <w:t xml:space="preserve">Maßnahmen zur Untersuchung von Altlastverdachtsflächen und Maßnahmen der Altlastensanierung im Einvernehmen mit der unteren Naturschutzbehörde. Der Herstellung des Einvernehmens bedarf es nicht, soweit es sich um unaufschiebbare Maßnahmen handelt;</w:t>
      </w:r>
    </w:p>
    <w:p>
      <w:r>
        <w:t xml:space="preserve">Schutz-, Pflege- und Entwicklungsmaßnahmen, die von der obersten Naturschutzbehörde oder der von ihr beauftragten Stelle angeordnet worden sind;</w:t>
      </w:r>
    </w:p>
    <w:p>
      <w:r>
        <w:t xml:space="preserve">behördlich angeordnete oder zugelassene Beschilderungen.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VO-NSGPOSTLUCHGANZ_2016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https://recht.nulegal.eu/gesetze/VO-NSGPOSTLUCHGANZ_2016/5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