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VO-NSGPOSTLUCHGANZ_2016 (Brandenburg) — Geltendmachen von Form- und Verfahrensmängeln</w:t>
      </w:r>
    </w:p>
    <w:p>
      <w:r>
        <w:rPr>
          <w:color w:val="555555"/>
          <w:sz w:val="18"/>
        </w:rPr>
        <w:t xml:space="preserve">Verordnung über das Naturschutzgebiet „Postluch Ganz“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Umwelt, Naturschutz und Raumordnung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VO-NSGPOSTLUCHGANZ_2016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https://recht.nulegal.eu/gesetze/VO-NSGPOSTLUCHGANZ_2016/10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