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 VO-NSGPOSTLUCHGANZ_2016 (Brandenburg) — Erklärung zum Schutzgebiet</w:t>
      </w:r>
    </w:p>
    <w:p>
      <w:r>
        <w:rPr>
          <w:color w:val="555555"/>
          <w:sz w:val="18"/>
        </w:rPr>
        <w:t xml:space="preserve">Verordnung über das Naturschutzgebiet „Postluch Ganz“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in § 2 näher bezeichneten Flächen in der Gemeinde Teetz (Landkreis Ostprignitz-Ruppin) werden als Naturschutzgebiet festgesetzt. Das Naturschutzgebiet trägt die Bezeichnung "Postluch Ganz".</w:t>
      </w:r>
    </w:p>
    <w:p>
      <w:r>
        <w:rPr>
          <w:color w:val="555555"/>
          <w:sz w:val="17"/>
        </w:rPr>
        <w:t xml:space="preserve">Zitiervorschlag: § 1 VO-NSGPOSTLUCHGANZ_2016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https://recht.nulegal.eu/gesetze/VO-NSGPOSTLUCHGANZ_2016/1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 VO-NSGPOSTLUCHGANZ_2016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