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VO-NSGPASTLINGSEE_2015 (Brandenburg) — Ordnungswidrigkeiten</w:t>
      </w:r>
    </w:p>
    <w:p>
      <w:r>
        <w:rPr>
          <w:color w:val="555555"/>
          <w:sz w:val="18"/>
        </w:rPr>
        <w:t xml:space="preserve">Verordnung über das Naturschutzgebiet „Pastlingsee“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im Sinne des § 39 Absatz 2 Nummer 2 des Brandenburgischen Naturschutzausführungsgesetzes handelt, wer vorsätzlich oder fahrlässig den Verboten des</w:t>
      </w:r>
    </w:p>
    <w:p>
      <w:r>
        <w:t xml:space="preserve">§ 4 oder den Bestimmungen des § 5 zuwiderhandelt.</w:t>
      </w:r>
    </w:p>
    <w:p>
      <w:r>
        <w:t xml:space="preserve">(2) Ordnungswidrigkeiten nach Absatz 1 können gemäß § 40 des Brandenburgischen Naturschutzausführungsgesetzes mit einer Geldbuße von bis zu fünfundsechzigtausend Euro geahndet werden.</w:t>
      </w:r>
    </w:p>
    <w:p>
      <w:r>
        <w:t xml:space="preserve">Verhältnis zu anderen naturschutzrechtlichen Bestimmungen</w:t>
      </w:r>
    </w:p>
    <w:p>
      <w:r>
        <w:t xml:space="preserve">(1) Die Aufstellung einer Behandlungsrichtlinie zur Ausführung der in dieser Verordnung festgelegten Schutz-, Pflege- und Entwicklungsmaßnahmen und zur Verwirklichung des Schutzwecks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8 VO-NSGPASTLINGSEE_2015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https://recht.nulegal.eu/gesetze/VO-NSGPASTLINGSEE_2015/8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