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VO-NSGPASTLINGSEE_2015 (Brandenburg) — Pflege- und Entwicklungsmaßnahmen</w:t>
      </w:r>
    </w:p>
    <w:p>
      <w:r>
        <w:rPr>
          <w:color w:val="555555"/>
          <w:sz w:val="18"/>
        </w:rPr>
        <w:t xml:space="preserve">Verordnung über das Naturschutzgebiet „Pastlingsee“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Folgende Pflege- und Entwicklungsmaßnahmen werden als Zielvorgabe benannt:</w:t>
      </w:r>
    </w:p>
    <w:p>
      <w:r>
        <w:t xml:space="preserve">der Aushieb von Kiefernanflug und die Schilfmahd auf dem Torfmoorkörper im Übergangsbereich zu den mineralischen Böden;</w:t>
      </w:r>
    </w:p>
    <w:p>
      <w:r>
        <w:t xml:space="preserve">die Absperrung und Überbrückung gefährdeter Bereiche der Ufervegetation am Pastlingsee;</w:t>
      </w:r>
    </w:p>
    <w:p>
      <w:r>
        <w:t xml:space="preserve">die Renaturierung kleinerer Torfstiche am Rand des Pastlingmoores;</w:t>
      </w:r>
    </w:p>
    <w:p>
      <w:r>
        <w:t xml:space="preserve">die Entnahme nicht heimischer Fischarten und Aufstellung eines Hegeplanes unter besonderer Berücksichtigung des § 3 Abs. 2 Nr. 1.</w:t>
      </w:r>
    </w:p>
    <w:p>
      <w:r>
        <w:rPr>
          <w:color w:val="555555"/>
          <w:sz w:val="17"/>
        </w:rPr>
        <w:t xml:space="preserve">Zitiervorschlag: § 6 VO-NSGPASTLINGSEE_2015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https://recht.nulegal.eu/gesetze/VO-NSGPASTLINGSEE_2015/6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