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VO-NSGPASTLINGSEE_2015 (Brandenburg) — Schutzzweck</w:t>
      </w:r>
    </w:p>
    <w:p>
      <w:r>
        <w:rPr>
          <w:color w:val="555555"/>
          <w:sz w:val="18"/>
        </w:rPr>
        <w:t xml:space="preserve">Verordnung über das Naturschutzgebiet „Pastlingsee“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Naturschutzgebietes ist</w:t>
      </w:r>
    </w:p>
    <w:p>
      <w:r>
        <w:t xml:space="preserve">die Erhaltung und Entwicklung als Lebensraum seltener, in ihrem Bestand bedrohter wild lebender Pflanzengesellschaften, insbesondere von Zwischenmoorbildungen mit Moorgehölzen, Röhrichtbeständen, Schwimmblattgesellschaften und Flechten-Kiefernwäldern auf Binnendünen;</w:t>
      </w:r>
    </w:p>
    <w:p>
      <w:r>
        <w:t xml:space="preserve">die Erhaltung und Entwicklung der Lebensräume wild lebender Pflanzenarten, darunter nach § 10 Abs. 2 Nr. 10 des Bundesnaturschutzgesetzes besonders geschützter Arten, beispielsweise Weiße Seerose (Nymphaea alba), Sonnentau (Drosera spp.), Sumpfporst (Ledum palustre) und Torfmoose (Sphagnum spp.);</w:t>
      </w:r>
    </w:p>
    <w:p>
      <w:r>
        <w:t xml:space="preserve">die Erhaltung und Entwicklung des Gebietes als Lebens- beziehungsweise Rückzugsraum und potenzielles Wiederausbreitungszentrum wild lebender Tierarten, insbesondere der Vögel, Schmetterlinge und Libellen, darunter nach § 10 Abs. 2 Nr. 10 und 11 des Bundesnaturschutzgesetzes besonders und streng geschützter Arten, beispielsweise Drosselrohrsänger (Acrocephalus arundinaceus), Moosbeerenbläuling (Vacciniinia optilete) und Blauflügel-Prachtlibelle (Calopteryx virgo);</w:t>
      </w:r>
    </w:p>
    <w:p>
      <w:r>
        <w:t xml:space="preserve">die Erhaltung und Entwicklung des Gebietes aus ökologischen und wissenschaftlichen Gründen, insbesondere des naturnahen Wasserhaushaltes und der Wasserspeicherfähigkeit der Moorkörper zur Erforschung der Lebensgemeinschaften der Torfmoosmoore und Kleingewässer.</w:t>
      </w:r>
    </w:p>
    <w:p>
      <w:r>
        <w:t xml:space="preserve">(2) Die Unterschutzstellung dient der Erhaltung und Entwicklung des Gebietes von gemeinschaftlicher Bedeutung „Pastlingsee“ (§ 7 Absatz 1 Nummer 6 des Bundesnaturschutzgesetzes) mit seinen Vorkommen von</w:t>
      </w:r>
    </w:p>
    <w:p>
      <w:r>
        <w:t xml:space="preserve">Natürlichen eutrophen Seen mit einer Vegetation des Magnopotamions oder Hydrocharitions, Trockenen europäischen Heiden und Übergangs- und Schwingrasenmooren als natürliche Lebensraumtypen von gemeinschaftlichem Interesse im Sinne von § 7 Absatz 1 Nummer 4 des Bundesnaturschutzgesetzes;</w:t>
      </w:r>
    </w:p>
    <w:p>
      <w:r>
        <w:t xml:space="preserve">Kalkreichen Sümpfen mit Cladium mariscus und Arten des Caricion davallianae und Waldkiefern-Moorwald als prioritäre natürliche Lebensraumtypen im Sinne von § 7 Absatz 1 Nummer 5 des Bundesnaturschutzgesetzes.</w:t>
      </w:r>
    </w:p>
    <w:p>
      <w:r>
        <w:rPr>
          <w:color w:val="555555"/>
          <w:sz w:val="17"/>
        </w:rPr>
        <w:t xml:space="preserve">Zitiervorschlag: § 3 VO-NSGPASTLINGSEE_2015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https://recht.nulegal.eu/gesetze/VO-NSGPASTLINGSEE_2015/3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