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VO-NSGLUBOWSEE (Brandenburg) — Pflege-, Entwicklungs- und Wiederherstellungsmaßnahmen</w:t>
      </w:r>
    </w:p>
    <w:p>
      <w:r>
        <w:rPr>
          <w:color w:val="555555"/>
          <w:sz w:val="18"/>
        </w:rPr>
        <w:t xml:space="preserve">Verordnung über das Naturschutzgebiet „Lubowsee“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Pflege-, Entwicklungs- und Wiederherstellungsmaßnahmen werden als Zielvorgaben benannt:</w:t>
      </w:r>
    </w:p>
    <w:p>
      <w:r>
        <w:t xml:space="preserve">die Wiederherstellung niedermoortypischer Abflussverhältnisse im Rahmen einer Wassermengenbewirtschaftung mit dem Ziel der nutzungsverträglichen Wasserrückhaltung in der Landschaft wird angestrebt;</w:t>
      </w:r>
    </w:p>
    <w:p>
      <w:r>
        <w:t xml:space="preserve">anfallendes Mähgut soll von der Fläche beräumt werden.</w:t>
      </w:r>
    </w:p>
    <w:p>
      <w:r>
        <w:rPr>
          <w:color w:val="555555"/>
          <w:sz w:val="17"/>
        </w:rPr>
        <w:t xml:space="preserve">Zitiervorschlag: § 6 VO-NSGLUBOWSEE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https://recht.nulegal.eu/gesetze/VO-NSGLUBOWSEE/6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