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VO-NSGLINOWSEE_2016 (Brandenburg) — Zulässige Handlungen</w:t>
      </w:r>
    </w:p>
    <w:p>
      <w:r>
        <w:rPr>
          <w:color w:val="555555"/>
          <w:sz w:val="18"/>
        </w:rPr>
        <w:t xml:space="preserve">Verordnung über das Naturschutzgebiet „Linowsee - Dutzendsee“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in der bisherigen Art und im bisherigen Umfang auf den bisher rechtmäßig dafür genutzten Flächen;</w:t>
      </w:r>
    </w:p>
    <w:p>
      <w:r>
        <w:t xml:space="preserve">die im Sinne des § 11 Abs. 3 des Brandenburgischen Naturschutzgesetzes ordnungsgemäße forstwirtschaftliche Bodennutzung in der bisherigen Art und im bisherigen Umfang auf den bisher dafür genutzten Flächen;</w:t>
      </w:r>
    </w:p>
    <w:p>
      <w:r>
        <w:t xml:space="preserve">die im Sinne des § 11 Abs. 4 des Brandenburgischen Naturschutzgesetzes ordnungsgemäße fischereiwirtschaftliche Flächennutzung mit der Maßgabe, daß die Sportangelei in der Gemarkung Streganz, Flur 7, Flurstück 64 und 65 ausgeübt werden darf und weitere Flächen im Einvernehmen mit der unteren Naturschutzbehörde festgelegt werden;</w:t>
      </w:r>
    </w:p>
    <w:p>
      <w:r>
        <w:t xml:space="preserve">die rechtmäßige Ausübung der Jagd;</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unteren Naturschutzbehörde oder der von ihr beauftragten Stelle angeordnet worden sind;</w:t>
      </w:r>
    </w:p>
    <w:p>
      <w:r>
        <w:t xml:space="preserve">behördlich angeordnete oder zugelassene Beschilderungen.</w:t>
      </w:r>
    </w:p>
    <w:p>
      <w:r>
        <w:t xml:space="preserve">(2) Die im § 5 für das Betreten und Befahren des Naturschutzgebietes enthaltenen Einschränkungen gelten nicht für die Dienstkräfte der Naturschutzbehörden, die zuständigen Naturschutzhelfer und sonstige von den Naturschutzbehörden beauftragte Personen sowie für Dienstkräfte und andere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VO-NSGLINOWSEE_2016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https://recht.nulegal.eu/gesetze/VO-NSGLINOWSEE_2016/5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