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VO-NSGLEHNMITTELHEIDE_2016 (Brandenburg) — Schutzzweck</w:t>
      </w:r>
    </w:p>
    <w:p>
      <w:r>
        <w:rPr>
          <w:color w:val="555555"/>
          <w:sz w:val="18"/>
        </w:rPr>
        <w:t xml:space="preserve">Verordnung über das Naturschutzgebiet „Lehniner Mittelheide und Quellgebiet der Emster“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</w:t>
      </w:r>
    </w:p>
    <w:p>
      <w:r>
        <w:t xml:space="preserve">als Standort einer Vielzahl seltener und bestandsbedrohter Pflanzengesellschaften, wie intakte Hangquellmoore, orchideenreiche Feuchtwiesen (Calthion-Typ), Schneiden-Ried, Walzenseggen-Erlen-Bruchwald;</w:t>
      </w:r>
    </w:p>
    <w:p>
      <w:r>
        <w:t xml:space="preserve">als pflanzengeographisch bemerkenswerter Standort von Elementen mit vorwiegend arktischer und borealer Verbreitung;</w:t>
      </w:r>
    </w:p>
    <w:p>
      <w:r>
        <w:t xml:space="preserve">als Lebensraum bestandsbedrohter und vom Aussterben bedrohter Tierarten, insbesondere von Vogel- und Insektenarten sowie als Rückzugsgebiet für Amphibien;</w:t>
      </w:r>
    </w:p>
    <w:p>
      <w:r>
        <w:t xml:space="preserve">aus ökologischen und wissenschaftlichen Gründen;</w:t>
      </w:r>
    </w:p>
    <w:p>
      <w:r>
        <w:t xml:space="preserve">wegen seiner besonderen geomorphologischen Eigenart.</w:t>
      </w:r>
    </w:p>
    <w:p>
      <w:r>
        <w:t xml:space="preserve">(2) Die Unterschutzstellung dient der Erhaltung und Entwicklung des Gebietes von gemeinschaftlicher Bedeutung „Lehniner Mittelheide und Quellgebiet der Emster“ (§ 7 Absatz 1 Nummer 6 des Bundesnaturschutzgesetzes) mit seinen Vorkommen von</w:t>
      </w:r>
    </w:p>
    <w:p>
      <w:r>
        <w:t xml:space="preserve">Natürlichen eutrophen Seen mit einer Vegetation des Magnopotamions oder Hydrocharitions, Flüssen der planaren bis montanen Stufe mit Vegetation des Ranunculion fluitantis und des Callitricho-Batrachion, Pfeifengraswiesen auf kalkreichem Boden, torfigen und tonig-schluffigen Böden (Molinion caeruleae), Feuchten Hochstaudenfluren der planaren und montanen bis alpinen Stufe, Mageren Flachland-Mähwiesen (Alopecurus pratensis, Sanguisorba officinalis), Übergangs- und Schwingrasenmooren und Alten bodensauren Eichenwäldern auf Sandebenen mit Quercus robur als natürlichen Lebensraumtypen von gemeinschaftlichem Interesse im Sinne von § 7 Absatz 1 Nummer 4 des Bundesnaturschutzgesetzes;</w:t>
      </w:r>
    </w:p>
    <w:p>
      <w:r>
        <w:t xml:space="preserve">Moorwäldern und Auen-Wäldern mit Alnus glutinosa und Fraxinus excelsior (Alno-Padion, Alnion incanae, Salicion albae) als prioritären natürlichen Lebensraumtypen im Sinne von § 7 Absatz 1 Nummer 5 des Bundesnaturschutzgesetzes;</w:t>
      </w:r>
    </w:p>
    <w:p>
      <w:r>
        <w:t xml:space="preserve">Sumpf-Glanzkraut (Liparis loeselii) als Art von gemeinschaftlichem Interesse im Sinne von § 7 Absatz 2 Nummer 10 des Bundesnaturschutzgesetzes, einschließlich seiner Lebensräume und den für seine Reproduktion erforderlichen Standortbedingungen.</w:t>
      </w:r>
    </w:p>
    <w:p>
      <w:r>
        <w:rPr>
          <w:color w:val="555555"/>
          <w:sz w:val="17"/>
        </w:rPr>
        <w:t xml:space="preserve">Zitiervorschlag: § 3 VO-NSGLEHNMITTELHEIDE_2016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https://recht.nulegal.eu/gesetze/VO-NSGLEHNMITTELHEIDE_2016/3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