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VO-NSGKOSELMUEHLE (Brandenburg) — Pflege-, Entwicklungs- und Wiederherstellungsmaßnahmen</w:t>
      </w:r>
    </w:p>
    <w:p>
      <w:r>
        <w:rPr>
          <w:color w:val="555555"/>
          <w:sz w:val="18"/>
        </w:rPr>
        <w:t xml:space="preserve">Verordnung über das Naturschutzgebiet „Koselmühlenfließ“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23.08.2026 (konsolidierte Textfassung, kein amtliches Inkrafttretensdatum)</w:t>
      </w:r>
    </w:p>
    <w:p>
      <w:r>
        <w:t xml:space="preserve">Folgende Pflege- Entwicklungs- und Wiederherstellungsmaßnahmen werden als Zielvorgabe benannt:</w:t>
      </w:r>
    </w:p>
    <w:p>
      <w:r>
        <w:t xml:space="preserve">bestehende ökomorphologische Beeinträchtigungen des Gewässers sollen abgebaut und die Durchgängigkeit wieder hergestellt werden;</w:t>
      </w:r>
    </w:p>
    <w:p>
      <w:r>
        <w:t xml:space="preserve">im Bereich der Mündung des Koselmühlenfließes in den Priorgraben soll in Abhängigkeit von der jeweils aktuellen bergbaulichen Beeinflussung eine Mindestabflussmenge gesichert werden;</w:t>
      </w:r>
    </w:p>
    <w:p>
      <w:r>
        <w:t xml:space="preserve">Ackerflächen entlang des Koselmühlenfließes sollen stillgelegt oder in Grünland umgewandelt werden.</w:t>
      </w:r>
    </w:p>
    <w:p>
      <w:r>
        <w:rPr>
          <w:color w:val="555555"/>
          <w:sz w:val="17"/>
        </w:rPr>
        <w:t xml:space="preserve">Zitiervorschlag: § 6 VO-NSGKOSELMUEHLE (Brandenburg)</w:t>
      </w:r>
    </w:p>
    <w:p>
      <w:r>
        <w:rPr>
          <w:color w:val="555555"/>
          <w:sz w:val="17"/>
        </w:rPr>
        <w:t xml:space="preserve">Quelle: bravors, abgerufen 23.08.2026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https://recht.nulegal.eu/gesetze/VO-NSGKOSELMUEHLE/6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