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VO-NSGKOSELMUEHLE (Brandenburg) — Schutzgegenstand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Das Naturschutzgebiet hat eine Größe von rund 112 Hektar. Es umfasst Flächen in folgenden Fluren:</w:t>
      </w:r>
    </w:p>
    <w:p>
      <w:r>
        <w:t xml:space="preserve">Gemeinde:</w:t>
      </w:r>
    </w:p>
    <w:p>
      <w:r>
        <w:t xml:space="preserve">Gemarkung</w:t>
      </w:r>
    </w:p>
    <w:p>
      <w:r>
        <w:t xml:space="preserve">Flur:</w:t>
      </w:r>
    </w:p>
    <w:p>
      <w:r>
        <w:t xml:space="preserve">Drebkau</w:t>
      </w:r>
    </w:p>
    <w:p>
      <w:r>
        <w:t xml:space="preserve">Greifenhain</w:t>
      </w:r>
    </w:p>
    <w:p>
      <w:r>
        <w:t xml:space="preserve">2;</w:t>
      </w:r>
    </w:p>
    <w:p>
      <w:r>
        <w:t xml:space="preserve">Drebkau</w:t>
      </w:r>
    </w:p>
    <w:p>
      <w:r>
        <w:t xml:space="preserve">Drebkau</w:t>
      </w:r>
    </w:p>
    <w:p>
      <w:r>
        <w:t xml:space="preserve">6;</w:t>
      </w:r>
    </w:p>
    <w:p>
      <w:r>
        <w:t xml:space="preserve">Drebkau</w:t>
      </w:r>
    </w:p>
    <w:p>
      <w:r>
        <w:t xml:space="preserve">Siewisch</w:t>
      </w:r>
    </w:p>
    <w:p>
      <w:r>
        <w:t xml:space="preserve">1 bis 4;</w:t>
      </w:r>
    </w:p>
    <w:p>
      <w:r>
        <w:t xml:space="preserve">Drebkau</w:t>
      </w:r>
    </w:p>
    <w:p>
      <w:r>
        <w:t xml:space="preserve">Casel</w:t>
      </w:r>
    </w:p>
    <w:p>
      <w:r>
        <w:t xml:space="preserve">6;</w:t>
      </w:r>
    </w:p>
    <w:p>
      <w:r>
        <w:t xml:space="preserve">Kolkwitz</w:t>
      </w:r>
    </w:p>
    <w:p>
      <w:r>
        <w:t xml:space="preserve">Krieschow</w:t>
      </w:r>
    </w:p>
    <w:p>
      <w:r>
        <w:t xml:space="preserve">4;</w:t>
      </w:r>
    </w:p>
    <w:p>
      <w:r>
        <w:t xml:space="preserve">Kolkwitz</w:t>
      </w:r>
    </w:p>
    <w:p>
      <w:r>
        <w:t xml:space="preserve">Glinzig</w:t>
      </w:r>
    </w:p>
    <w:p>
      <w:r>
        <w:t xml:space="preserve">1, 2;</w:t>
      </w:r>
    </w:p>
    <w:p>
      <w:r>
        <w:t xml:space="preserve">Kolkwitz</w:t>
      </w:r>
    </w:p>
    <w:p>
      <w:r>
        <w:t xml:space="preserve">Limberg</w:t>
      </w:r>
    </w:p>
    <w:p>
      <w:r>
        <w:t xml:space="preserve">1.</w:t>
      </w:r>
    </w:p>
    <w:p>
      <w:r>
        <w:t xml:space="preserve">Eine Kartenskizze zur Orientierung über die Lage des Naturschutzgebietes ist dieser Verordnung als Anlage 1 beigefügt. Darüber hinaus ist dieser Verordnung zur Orientierung über die betroffenen Grundstücke eine Flurstücksliste als Anlage 2 beigefügt.</w:t>
      </w:r>
    </w:p>
    <w:p>
      <w:r>
        <w:t xml:space="preserve">(2) Die Grenze des Naturschutzgebietes ist in den in Anlage 3 dieser Verordnung aufgeführten Karten mit ununterbrochener roter Linie eingezeichnet; als Grenze gilt der innere Rand dieser Linie. Die in Anlage 3 Nr. 1 mit den Blattnummern 1 bis 3 aufgeführten topografischen Karten im Maßstab 1 : 10 000 ermöglichen die Verortung im Gelände. Maßgeblich für den Grenzverlauf ist die Einzeichnung in den in Anlage 3 Nr. 2 mit den Blattnummern 5 bis 9 aufgeführten Flurkarten sowie den in Anlage 3 Nr. 3 mit den Blattnummern 1 bis 4 und 10 aufgeführten Liegenschaftskarten (Auszug aus der Liegenschaftskarte).</w:t>
      </w:r>
    </w:p>
    <w:p>
      <w:r>
        <w:t xml:space="preserve">(3) Die Verordnung mit Karten kann bei dem für Naturschutz und Landschaftspflege zuständigen Ministerium des Landes Brandenburg (oberste Naturschutzbehörde) in Potsdam sowie bei dem Landkreis Spree-Neiße (untere Naturschutzbehörde) von jeder Person während der Dienstzeiten kostenlos eingesehen werden.</w:t>
      </w:r>
    </w:p>
    <w:p>
      <w:r>
        <w:rPr>
          <w:color w:val="555555"/>
          <w:sz w:val="17"/>
        </w:rPr>
        <w:t xml:space="preserve">Zitiervorschlag: § 2 VO-NSGKOSELMUEHLE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