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VO-NSGKOSELMUEHLE (Brandenburg) — In-Kraft-Treten</w:t>
      </w:r>
    </w:p>
    <w:p>
      <w:r>
        <w:rPr>
          <w:color w:val="555555"/>
          <w:sz w:val="18"/>
        </w:rPr>
        <w:t xml:space="preserve">Verordnung über das Naturschutzgebiet „Koselmühlenfließ“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§ 5 Abs. 1 Nr. 1 Buchstabe a, b und e dieser Verordnung tritt am 1. Juli 2006 in Kraft. Im Übrigen tritt diese Verordnung am Tage nach der Verkündung in Kraft.</w:t>
      </w:r>
    </w:p>
    <w:p>
      <w:r>
        <w:t xml:space="preserve">Potsdam, den 5. Mai 2006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11 VO-NSGKOSELMUEHLE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https://recht.nulegal.eu/gesetze/VO-NSGKOSELMUEHLE/11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