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VO-NSGKOSELMUEHLE (Brandenburg) — Geltendmachen von Rechtsmängeln</w:t>
      </w:r>
    </w:p>
    <w:p>
      <w:r>
        <w:rPr>
          <w:color w:val="555555"/>
          <w:sz w:val="18"/>
        </w:rPr>
        <w:t xml:space="preserve">Verordnung über das Naturschutzgebiet „Koselmühlenfließ“</w:t>
      </w:r>
    </w:p>
    <w:p>
      <w:r>
        <w:rPr>
          <w:color w:val="555555"/>
          <w:sz w:val="18"/>
        </w:rPr>
        <w:t xml:space="preserve">Landesrecht Brandenburg</w:t>
      </w:r>
    </w:p>
    <w:p>
      <w:r>
        <w:rPr>
          <w:color w:val="555555"/>
          <w:sz w:val="18"/>
        </w:rPr>
        <w:t xml:space="preserve">Stand: 23.08.2026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Ländliche Entwicklung, Umwelt und Verbraucherschutz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VO-NSGKOSELMUEHLE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https://recht.nulegal.eu/gesetze/VO-NSGKOSELMUEHLE/10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