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VO-NSGKLPLESSOWERSEE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Feuchtwiesenbrachen sollen durch regelmäßige Mahd mit Beräumung des Mähgutes offen gehalten werden;</w:t>
      </w:r>
    </w:p>
    <w:p>
      <w:r>
        <w:t xml:space="preserve">der Pappelforst soll unter Verwendung von Baumarten der potenziell natürlichen Vegetation schrittweise zu einem naturnahen, strukturreichen Wald umgebaut werden.</w:t>
      </w:r>
    </w:p>
    <w:p>
      <w:r>
        <w:rPr>
          <w:color w:val="555555"/>
          <w:sz w:val="17"/>
        </w:rPr>
        <w:t xml:space="preserve">Zitiervorschlag: § 6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