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VO-NSGKLAPPERBERGE (Brandenburg) — Schutzzweck</w:t>
      </w:r>
    </w:p>
    <w:p>
      <w:r>
        <w:rPr>
          <w:color w:val="555555"/>
          <w:sz w:val="18"/>
        </w:rPr>
        <w:t xml:space="preserve">Verordnung über das Naturschutzgebiet „Klapperberge“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als naturnaher Ausschnitt des Neustrelitzer Kleinseenlandes ist</w:t>
      </w:r>
    </w:p>
    <w:p>
      <w:r>
        <w:t xml:space="preserve">die Erhaltung, Wiederherstellung und Entwicklung der Lebensstätten wild lebender Pflanzengesellschaften, insbesondere naturnaher Waldtypen wie Buchenwälder, Bruchwaldgesellschaften und Moorgehölze, Schwimmblatt- und Tauchflurengesellschaften nährstoffarmer Seen, Gesellschaften der Seggen-, Torfmoos- und Röhrichtmoore sowie des Grünlandes frischer bis feuchter Ausprägung;</w:t>
      </w:r>
    </w:p>
    <w:p>
      <w:r>
        <w:t xml:space="preserve">die Erhaltung und Entwicklung der Lebensräume wild lebender Pflanzenarten, darunter im Sinne von § 7 Absatz 2 Nummer 13 und 14 des Bundesnaturschutzgesetzes besonders geschützter Arten, insbesondere Heidenelke (Dianthus deltoides), Rundblättriger Sonnentau (Drosera rotundifolia), Sumpfiris (Iris pseudacorus), Fieberklee (Menyanthes trifoliata), Krebsschere (Stratiotes aloides), Blasenbinse (Scheuchzeria palustris) und Sandstrohblume (Helichrysum arenarium);</w:t>
      </w:r>
    </w:p>
    <w:p>
      <w:r>
        <w:t xml:space="preserve">die Erhaltung und Entwicklung des Gebietes als Lebens- beziehungsweise Rückzugsraum und potenzielles Wiederausbreitungszentrum wild lebender Tierarten, darunter im Sinne von § 7 Absatz 2 Nummer 13 und 14 des Bundesnaturschutzgesetzes besonders geschützter Arten, insbesondere Braunes Langohr (Plecotus auritus), Moorfrosch (Rana arvalis), Teichmolch (Triturus vulgaris), Laubfrosch (Hyla arborea), Gemeine Keiljungfer (Gomphus vulgatissimus), Mondazurjungfer (Coenagrion lunulatum) und Keilfleckmosaikjungfer (Aeshna isosceles);</w:t>
      </w:r>
    </w:p>
    <w:p>
      <w:r>
        <w:t xml:space="preserve">die Erhaltung einer reich gegliederten Wald- und Seenlandschaft mit nährstoffarmen Klarwasserseen, natürlich eutrophen Seen, Quellen, naturnahen Fließgewässern, Söllen und einer Vielzahl kleiner Moore einschließlich ihrer Binneneinzugsgebiete;</w:t>
      </w:r>
    </w:p>
    <w:p>
      <w:r>
        <w:t xml:space="preserve">die Erhaltung der besonderen Eigenart und hervorragenden Schönheit eines unzerschnittenen, störungsarmen Gebietes als typischer Ausschnitt der Hauptendmoräne des Neustrelitzer und Feldberg-Alt-Temmener Endmoränenbogens mit ausgedehnten Sanderflächen, Dünen und Schmelzwasserrinnen;</w:t>
      </w:r>
    </w:p>
    <w:p>
      <w:r>
        <w:t xml:space="preserve">die Erhaltung und Entwicklung des Gebietes als wesentlicher Teil des überregionalen Biotopverbundes zwischen dem Lychener Seenkreuz und den Havelgewässern.</w:t>
      </w:r>
    </w:p>
    <w:p>
      <w:r>
        <w:t xml:space="preserve">(2) Die Unterschutzstellung dient der Erhaltung und Entwicklung</w:t>
      </w:r>
    </w:p>
    <w:p>
      <w:r>
        <w:t xml:space="preserve">eines Teiles des Europäischen Vogelschutzgebietes „Uckermärkische Seen“ (§ 7 Absatz 1 Nummer 7 des Bundesnaturschutzgesetzes) in seiner Funktion als Lebensraum von Arten nach Anhang I der Richtlinie 79/409 EWG, insbesondere Fischadler (Pandion haliaetus), Schwarzstorch (Ciconia nigra), Kranich (Grus grus), Große Rohrdommel (Botaurus stellaris), Zwergschnäpper (Ficedula parva), Schellente (Bucephala clangula), Schwarzspecht (Dryocopus martius), Mittelspecht (Dendrocopus medius), Heidelerche (Lullula arborea) und Ziegenmelker (Caprimulgus europeus) einschließlich ihrer Brut- und Nahrungsbiotope;</w:t>
      </w:r>
    </w:p>
    <w:p>
      <w:r>
        <w:t xml:space="preserve">des Gebietes von gemeinschaftlicher Bedeutung „Klapperberge“ (§ 7 Absatz 1 Nummer 6 des Bundesnaturschutzgesetzes) mit seinen Vorkommen von</w:t>
      </w:r>
    </w:p>
    <w:p>
      <w:r>
        <w:t xml:space="preserve">Dünen mit offenen Grasflächen mit Corynephorus und Agrostis, Oligo- bis mesotrophen kalkhaltigen Gewässern mit benthischer Vegetation aus Armleuchteralgen, Natürlichen eutrophen Seen mit einer Vegetation des Magnopotamions oder Hydrocharitions, Dystrophen Seen, Flüssen der planaren bis montanen Stufe mit Vegetation des Ranunculion fluitantis und des Callitricho-Batrachion, Trockenen europäischen Heiden, Pfeifengraswiesen auf kalkreichem Boden, torfigen und tonig-schluffigen Böden (Molinion caeruleae), Feuchten Hochstaudenfluren der planaren und montanen bis alpinen Stufe, Mageren Flachland-Mähwiesen (Alopecurus pratensis, Sanguisorba officinalis), Übergangs- und Schwingrasenmooren, Kalkreichen Niedermooren, Hainsimsen-Buchenwald (Luzulo-Fagetum) und Mitteleuropäischem Flechten-Kiefernwald als natürliche Lebensraumtypen von gemeinschaftlichem Interesse im Sinne von § 7 Absatz 1 Nummer 4 des Bundesnaturschutzgesetzes,</w:t>
      </w:r>
    </w:p>
    <w:p>
      <w:r>
        <w:t xml:space="preserve">Trockenen, kalkreichen Sandrasen, Moorwäldern, Birken-Moorwald und Auen-Wäldern mit Alnus glutinosa und Fraxinus excelsior (Alno-Padion, Alnion incanae, Salicion albae) als prioritäre natürliche Lebensraumtypen im Sinne von § 7 Absatz 1 Nummer 5 des Bundesnaturschutzgesetzes,</w:t>
      </w:r>
    </w:p>
    <w:p>
      <w:r>
        <w:t xml:space="preserve">Biber (Castor fiber), Fischotter (Lutra lutra), Schlammpeitzger (Misgurnus fossilis), Steinbeißer (Cobitis taenia) und Großer Moosjungfer (Leucorrhinia pectoralis) als Arten von gemeinschaftlichem Interesse im Sinne von § 7 Absatz 2 Nummer 10 des Bundesnaturschutzgesetzes, einschließlich ihrer für Fortpflanzung, Ernährung, Wanderung und Überwinterung wichtigen Lebensräume.</w:t>
      </w:r>
    </w:p>
    <w:p>
      <w:r>
        <w:t xml:space="preserve">(3) Darüber hinaus ist besonderer Schutzzweck der Zone 1 (Naturentwicklungsgebiet) die weitgehend eigen-dynamische und störungsfreie Entwicklung der Wälder, Seen und Moore sowie deren wissenschaftliche Untersuchung.</w:t>
      </w:r>
    </w:p>
    <w:p>
      <w:r>
        <w:rPr>
          <w:color w:val="555555"/>
          <w:sz w:val="17"/>
        </w:rPr>
        <w:t xml:space="preserve">Zitiervorschlag: § 3 VO-NSGKLAPPERBERGE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https://recht.nulegal.eu/gesetze/VO-NSGKLAPPERBERGE/3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