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VO-NSGHUTUNGSAEHLE (Brandenburg) — Befreiungen</w:t>
      </w:r>
    </w:p>
    <w:p>
      <w:r>
        <w:rPr>
          <w:color w:val="555555"/>
          <w:sz w:val="18"/>
        </w:rPr>
        <w:t xml:space="preserve">Verordnung über das Naturschutzgebiet „Hutung Sähle“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VO-NSGHUTUNGSAEHLE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https://recht.nulegal.eu/gesetze/VO-NSGHUTUNGSAEHLE/7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