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VO-NSGHUTUNGSAEHLE (Brandenburg) — Zulässige Handlungen</w:t>
      </w:r>
    </w:p>
    <w:p>
      <w:r>
        <w:rPr>
          <w:color w:val="555555"/>
          <w:sz w:val="18"/>
        </w:rPr>
        <w:t xml:space="preserve">Verordnung über das Naturschutzgebiet „Hutung Sähle“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im Sinne des § 11 Abs. 2 des Brandenburgischen Naturschutzgesetzes ordnungsgemäße landwirtschaftliche Bodennutzung in der bisherigen Art und im bisherigen Umfang auf den bisher rechtmäßig dafür genutzten Flächen mit der Maßgabe, dass</w:t>
      </w:r>
    </w:p>
    <w:p>
      <w:r>
        <w:t xml:space="preserve">die Nutzung des Grünlandes vor dem 16. Juni unzulässig ist,</w:t>
      </w:r>
    </w:p>
    <w:p>
      <w:r>
        <w:t xml:space="preserve">Walzen oder Schleppen von Grünland im Zeitraum vom 15. März eines Jahres bis zur ersten Nutzung unzulässig ist,</w:t>
      </w:r>
    </w:p>
    <w:p>
      <w:r>
        <w:t xml:space="preserve">§ 4 Abs. 1 Nr. 15, 21 und 22 gilt;</w:t>
      </w:r>
    </w:p>
    <w:p>
      <w:r>
        <w:t xml:space="preserve">die im Sinne des § 11 Abs. 3 des Brandenburgischen Naturschutzgesetzes ordnungsgemäße forstwirtschaftliche Bodennutzung auf den bisher rechtmäßig dafür genutzten Flächen mit der Maßgabe, dass</w:t>
      </w:r>
    </w:p>
    <w:p>
      <w:r>
        <w:t xml:space="preserve">Feldgehölze nur einzelstammweise genutzt werden,</w:t>
      </w:r>
    </w:p>
    <w:p>
      <w:r>
        <w:t xml:space="preserve">bei Wiederaufforstungen keine standortfremden, nichtheimischen Baumarten zu verwenden sind,</w:t>
      </w:r>
    </w:p>
    <w:p>
      <w:r>
        <w:t xml:space="preserve">ein Totholzanteil von mindestens fünf Prozent am stehenden und liegenden Bestandesvorrat zu gewährleisten ist,</w:t>
      </w:r>
    </w:p>
    <w:p>
      <w:r>
        <w:t xml:space="preserve">§ 4 Abs. 2 Nr. 15 und 21 gilt;</w:t>
      </w:r>
    </w:p>
    <w:p>
      <w:r>
        <w:t xml:space="preserve">für den Bereich der Jagd:</w:t>
      </w:r>
    </w:p>
    <w:p>
      <w:r>
        <w:t xml:space="preserve">die rechtmäßige Ausübung der Jagd,</w:t>
      </w:r>
    </w:p>
    <w:p>
      <w:r>
        <w:t xml:space="preserve">die Errichtung ortsunveränderlicher jagdlicher Einrichtungen zur Ansitzjagd mit Zustimmung der unteren Naturschutzbehörde. Die Zustimmung ist zu erteilen, wenn der Schutzzweck nicht beeinträchtigt wird,</w:t>
      </w:r>
    </w:p>
    <w:p>
      <w:r>
        <w:t xml:space="preserve">das Aufstellen transportabler und mobiler Ansitzeinrichtungen,</w:t>
      </w:r>
    </w:p>
    <w:p>
      <w:r>
        <w:t xml:space="preserve">die Anlage von Kirrungen außerhalb geschützter Biotope; Im Übrigen bleibt die Anlage von Wildfütterungen, Kirrungen, Ansaatwildwiesen oder Wildäckern verboten;</w:t>
      </w:r>
    </w:p>
    <w:p>
      <w:r>
        <w:t xml:space="preserve">die im Sinne des § 10 des Brandenburgischen Straßengesetzes ordnungsgemäße Unterhaltung der dem öffentlichen Verkehr gewidmeten Straßen und Wege, die im Sinne des §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Altlastenverdachtsflächen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dieser 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VO-NSGHUTUNGSAEHLE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https://recht.nulegal.eu/gesetze/VO-NSGHUTUNGSAEHLE/5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