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VO-NSGHUTUNGSAEHLE (Brandenburg) — Schutzzweck</w:t>
      </w:r>
    </w:p>
    <w:p>
      <w:r>
        <w:rPr>
          <w:color w:val="555555"/>
          <w:sz w:val="18"/>
        </w:rPr>
        <w:t xml:space="preserve">Verordnung über das Naturschutzgebiet „Hutung Sähle“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Naturschutzgebietes, das ein nährstoffarmes Torfmoosmoor mit gehölzarmer, moosreicher Moorvegetation, ein angrenzendes Feldgehölz sowie einen durch Schafhutung entstandenen großflächigen Sandtrockenrasen umfasst, ist</w:t>
      </w:r>
    </w:p>
    <w:p>
      <w:r>
        <w:t xml:space="preserve">die Erhaltung und Entwicklung</w:t>
      </w:r>
    </w:p>
    <w:p>
      <w:r>
        <w:t xml:space="preserve">als Lebensraum wild lebender Pflanzengesellschaften, insbesondere der Übergangs- und Schwingrasenmoore, Moorgehölze, Feucht-, Frisch- und Großseggenwiesen, Röhrichte und der Schafschwingel-Trockenrasen,</w:t>
      </w:r>
    </w:p>
    <w:p>
      <w:r>
        <w:t xml:space="preserve">als Lebensraum wild lebender Tierarten, insbesondere Großvogel-, Amphibien-, Reptilien- und Insektenarten;</w:t>
      </w:r>
    </w:p>
    <w:p>
      <w:r>
        <w:t xml:space="preserve">die Erhaltung der Lebensräume wild lebender Pflanzenarten, darunter nach § 10 Abs. 2 Nr. 10 des Bundesnaturschutzgesetzes besonders geschützter Arten, beispielsweise Rundblättriger Sonnentau (Drosera rotundifolia), Sumpfiris (Iris pseudacorus), Gewöhnliche Grasnelke (Armeria elongata), Kammwurmfarn (Dryopteris cristata) und Fieberklee (Menyanthes trifoliata);</w:t>
      </w:r>
    </w:p>
    <w:p>
      <w:r>
        <w:t xml:space="preserve">die Wiederherstellung eines naturnahen Wasserhaushalts und die Sicherung der Wasserspeicherfä-higkeit des Kesselmoores,</w:t>
      </w:r>
    </w:p>
    <w:p>
      <w:r>
        <w:t xml:space="preserve">die Erhaltung der besonderen Eigenart und Vielfalt des Gebietes in seiner kleinräumigen Verzahnung von nassen bis trockenen Standorten.</w:t>
      </w:r>
    </w:p>
    <w:p>
      <w:r>
        <w:t xml:space="preserve">(2) Die Unterschutzstellung dient der Erhaltung und Entwicklung</w:t>
      </w:r>
    </w:p>
    <w:p>
      <w:r>
        <w:t xml:space="preserve">des Gebietes als Teil des Europäischen Vogelschutzgebietes „Uckermärkische Seenlandschaft“ nach der Richtlinie 79/409 EWG des Rates vom 2. April 1979 über die Erhaltung der wild lebenden Vogelarten (ABl. EG Nr. L 103 S. 1), zuletzt geändert durch die Richtlinie 97/49/EG vom 29. Juli 1997 (ABl. EG Nr. L 233 S. 9) – Vogelschutz-Richtlinie – in seiner Funktion als Lebensraum von Arten nach Anhang I der Vogelschutz-Richtlinie, beispielsweise Kranich (Grus grus), Ziegenmelker (Caprimulgus europaeus) und Heidelerche (Lullula arborea) einschließlich ihrer Brut- und Nahrungsbiotope;</w:t>
      </w:r>
    </w:p>
    <w:p>
      <w:r>
        <w:t xml:space="preserve">des Gebietes von gemeinschaftlicher Bedeutung „Hutung Sähle“ (§ 7 Absatz 1 Nummer 6 des Bundesnaturschutzgesetzes) mit seinen Vorkommen von</w:t>
      </w:r>
    </w:p>
    <w:p>
      <w:r>
        <w:t xml:space="preserve">Übergangs- und Schwingrasenmooren als natürlichem Lebensraumtyp von gemeinschaftlichem Interesse im Sinne von § 7 Absatz 1 Nummer 4 des Bundesnaturschutzgesetzes,</w:t>
      </w:r>
    </w:p>
    <w:p>
      <w:r>
        <w:t xml:space="preserve">Moorwäldern als prioritärem natürlichem Lebensraumtyp im Sinne von § 7 Absatz 1 Nummer 5 des Bundesnaturschutzgesetzes,</w:t>
      </w:r>
    </w:p>
    <w:p>
      <w:r>
        <w:t xml:space="preserve">Rotbauchunke (Bombina bombina) als Art von gemeinschaftlichem Interesse im Sinne von § 7 Absatz 2 Nummer 10 des Bundesnaturschutzgesetzes, einschließlich ihrer für Fortpflanzung, Ernährung, Wanderung und Überwinterung wichtigen Lebensräume.</w:t>
      </w:r>
    </w:p>
    <w:p>
      <w:r>
        <w:rPr>
          <w:color w:val="555555"/>
          <w:sz w:val="17"/>
        </w:rPr>
        <w:t xml:space="preserve">Zitiervorschlag: § 3 VO-NSGHUTUNGSAEHLE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https://recht.nulegal.eu/gesetze/VO-NSGHUTUNGSAEHLE/3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