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VO-NSGHUTELANDALTRANFT_2015 (Brandenburg) — Befreiungen</w:t>
      </w:r>
    </w:p>
    <w:p>
      <w:r>
        <w:rPr>
          <w:color w:val="555555"/>
          <w:sz w:val="18"/>
        </w:rPr>
        <w:t xml:space="preserve">Verordnung über das Naturschutzgebiet „Hutelandschaft Altranft Sonnenburg“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 Verboten dieser Verordnung kann die oberste Naturschutzbehörde auf Antrag gemäß § 72 des Brandenburgischen Naturschutzgesetzes Befreiung gewähren.</w:t>
      </w:r>
    </w:p>
    <w:p>
      <w:r>
        <w:rPr>
          <w:color w:val="555555"/>
          <w:sz w:val="17"/>
        </w:rPr>
        <w:t xml:space="preserve">Zitiervorschlag: § 7 VO-NSGHUTELANDALTRANFT_2015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https://recht.nulegal.eu/gesetze/VO-NSGHUTELANDALTRANFT_2015/7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