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VO-NSGHEIDEHOFGOLMBERG (Brandenburg) — Zulässige Handlungen</w:t>
      </w:r>
    </w:p>
    <w:p>
      <w:r>
        <w:rPr>
          <w:color w:val="555555"/>
          <w:sz w:val="18"/>
        </w:rPr>
        <w:t xml:space="preserve">Verordnung über das Naturschutzgebiet „Heidehof-Golmberg“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Ausgenommen von den Verboten der §§ 4 und 4 a bleiben folgende Handlungen:</w:t>
      </w:r>
    </w:p>
    <w:p>
      <w:r>
        <w:t xml:space="preserve">die im Sinne des § 11 Abs. 3 des Brandenburgischen Naturschutzgesetzes ordnungsgemäße forstwirtschaftliche Bodennutzung in den Zonen II und III mit der Maßgabe, dass § 4 Abs. 2 Nr. 22 gilt sowie in der Zone II</w:t>
      </w:r>
    </w:p>
    <w:p>
      <w:r>
        <w:t xml:space="preserve">bei forstlichen Maßnahmen eine sich an dem Bestandeszieltyp, der dem natürlichen Bestandesaufbau nahekommt, entsprechend den Bestandeszieltypen für die Wälder des Landes Brandenburg orientierende Baumartenzusammensetzung zu erhalten beziehungsweise zu entwickeln ist, wobei der Naturverjüngung gegenüber Pflanzungen der Vorrang einzuräumen ist,</w:t>
      </w:r>
    </w:p>
    <w:p>
      <w:r>
        <w:t xml:space="preserve">§ 4 Abs. 2 Nr. 21 gilt, ausgenommen hiervon ist der Herbizideinsatz zur Vorbereitung und Pflege von Aufforstungen,</w:t>
      </w:r>
    </w:p>
    <w:p>
      <w:r>
        <w:t xml:space="preserve">abgestorbene Bäume mit mehr als 30 Zentimeter Durchmesser in 1,30 Meter Höhe über Stammfuß an Ort und Stelle belassen werden,</w:t>
      </w:r>
    </w:p>
    <w:p>
      <w:r>
        <w:t xml:space="preserve">bei Holzeinschlagsarbeiten in über 50 Jahre alten Kiefernbeständen die abgestorbenen Bäume dann nicht gefällt werden, wenn sich daran in mehr als 1,30 Meter Höhe über Stammfuß noch Rinde befindet,</w:t>
      </w:r>
    </w:p>
    <w:p>
      <w:r>
        <w:t xml:space="preserve">Bäume mit Spechthöhlen oder Anzeichen auf Fäule, wie zum Beispiel Kiefernbaumschwamm, nicht gefällt werden,</w:t>
      </w:r>
    </w:p>
    <w:p>
      <w:r>
        <w:t xml:space="preserve">Kahlschläge nur bis zu einer Größe von einem Hektar zulässig sind;</w:t>
      </w:r>
    </w:p>
    <w:p>
      <w:r>
        <w:t xml:space="preserve">für den Bereich der Jagd:</w:t>
      </w:r>
    </w:p>
    <w:p>
      <w:r>
        <w:t xml:space="preserve">die rechtmäßige Ausübung der Jagd,</w:t>
      </w:r>
    </w:p>
    <w:p>
      <w:r>
        <w:t xml:space="preserve">die Anlage von Kirrungen und Salzlecken außerhalb von Feuchtgebieten, Heiden oder Trockenrasen,</w:t>
      </w:r>
    </w:p>
    <w:p>
      <w:r>
        <w:t xml:space="preserve">die Neuanlage von Wildäckern und künstlichen Wildwiesen in den Schutzzonen I und II im Einvernehmen mit der unteren Naturschutzbehörde;</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Maßnahmen der Altlastensanierung und der Munitionsberäumung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die Anlage eines Systems unbefestigter Wanderwege sowie die Errichtung eines Aussichtsturmes außerhalb der Zone I im Bereich des Golmberges, jeweils im Einvernehmen mit der obersten Naturschutzbehörde;</w:t>
      </w:r>
    </w:p>
    <w:p>
      <w:r>
        <w:t xml:space="preserve">das nichtgewerbliche Sammeln von Waldfrüchten einschließlich Pilzen ab dem 1. August eines jeden Jahres außerhalb der Zone I.</w:t>
      </w:r>
    </w:p>
    <w:p>
      <w:r>
        <w:t xml:space="preserve">(2) Die in § 4 für das Betreten und Befahren des Naturschutzgebietes enthaltenen Einschränkungen gelten nicht für die Dienstkräfte der Naturschutz- und Forstbehörden, die zuständigen Naturschutzhelfer oder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VO-NSGHEIDEHOFGOLMBERG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https://recht.nulegal.eu/gesetze/VO-NSGHEIDEHOFGOLMBERG/5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