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VO-NSGHEIDEHOFGOLMBERG (Brandenburg) — Verbote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Vorbehaltlich der nach § 5 zulässigen Handlungen sind im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 zu halten;</w:t>
      </w:r>
    </w:p>
    <w:p>
      <w:r>
        <w:t xml:space="preserve">Hunde, ausgenommen Diensthunde,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Pflanzenschutzmittel jeder Art, insbesondere Schädlingsbekämpfungsmittel oder Biozidprodukte anzuwenden;</w:t>
      </w:r>
    </w:p>
    <w:p>
      <w:r>
        <w:t xml:space="preserve">Heiden oder gemäß § 32 des Brandenburgischen Naturschutzgesetzes geschützte Biotope aufzuforsten.</w:t>
      </w:r>
    </w:p>
    <w:p>
      <w:r>
        <w:rPr>
          <w:color w:val="555555"/>
          <w:sz w:val="17"/>
        </w:rPr>
        <w:t xml:space="preserve">Zitiervorschlag: § 4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