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VO-NSGGROSSSCHAUSEE_2015 (Brandenburg) — Zulässige Handlungen</w:t>
      </w:r>
    </w:p>
    <w:p>
      <w:r>
        <w:rPr>
          <w:color w:val="555555"/>
          <w:sz w:val="18"/>
        </w:rPr>
        <w:t xml:space="preserve">Verordnung über das Naturschutzgebiet „Groß Schauener Seenkette"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der §§ 4 und 4 a bleiben folgende Handlungen:</w:t>
      </w:r>
    </w:p>
    <w:p>
      <w:r>
        <w:t xml:space="preserve">Für den Bereich der Landwirtschaft:</w:t>
      </w:r>
    </w:p>
    <w:p>
      <w:r>
        <w:t xml:space="preserve">die im Sinne des § 11 Abs. 2 des Brandenburgischen Naturschutzgesetzes ordnungsgemäße landwirtschaftliche Bodennutzung mit der Maßgabe, dass die Verbote nach § 4 Abs. 2 Nr. 20 und 23 gelten; die Ausbringung von Gülle auf Ackerflächen bleibt mit Ausnahme der Flurstücke 45, 57, 58, 61 (Woppusch-Halbinsel) der Gemarkung Selchow, Flur 2, zulässig. Bei der Ausbringung von Gülle sind 20 Meter breite Streifen beidseitig von Gräben freizulassen. Zulässig bleibt auch die ordnungsgemäße Lagerung von Gärfutter; davon unberührt bleiben die Regelungen in Ziffer 7 des Brandenburgischen Kataloges wasserwirtschaftlicher Anforderungen an Anlagen zum Lagern und Abfüllen von Jauche, Gülle, Festmist und Silagesickersäften (Anforderungskatalog JGS-Anlagen vom 11. Juli 1994);</w:t>
      </w:r>
    </w:p>
    <w:p>
      <w:r>
        <w:t xml:space="preserve">die Verlegung oder Änderung von Leitungen für die Versorgung von Weidevieh vorbehaltlich der Genehmigung durch die untere Naturschutzbehörde;</w:t>
      </w:r>
    </w:p>
    <w:p>
      <w:r>
        <w:t xml:space="preserve">in den "Einwirkungszonen" nach § 2 Abs. 2 die im Sinne des § 11 Abs. 2 des Brandenburgischen Naturschutzgesetzes ordnungsgemäße landwirtschaftliche Bodennutzung;</w:t>
      </w:r>
    </w:p>
    <w:p>
      <w:r>
        <w:t xml:space="preserve">die im Sinne des § 11 Abs. 3 des Brandenburgischen Naturschutzgesetzes ordnungsgemäße forstwirtschaftliche Bodennutzung;</w:t>
      </w:r>
    </w:p>
    <w:p>
      <w:r>
        <w:t xml:space="preserve">die im Sinne des § 11 Abs. 4 des Brandenburgischen Naturschutzgesetzes in Verbindung mit § 1 Abs. 1 und 2 des Fischereigesetzes für das Land Brandenburg ordnungsgemäße fischereiwirtschaftliche Flächennutzung mit der Maßgabe, dass das Verbot nach § 4 Abs. 2 Nr. 22 gilt;</w:t>
      </w:r>
    </w:p>
    <w:p>
      <w:r>
        <w:t xml:space="preserve">die rechtmäßige Ausübung der Angelfischerei mit der Maßgabe, dass</w:t>
      </w:r>
    </w:p>
    <w:p>
      <w:r>
        <w:t xml:space="preserve">das Angeln vom Ufer aus an der Groß Schauener Seenkette auf die in § 4 Abs. 2 Nr. 12 benannten Badestellen beschränkt bleibt,</w:t>
      </w:r>
    </w:p>
    <w:p>
      <w:r>
        <w:t xml:space="preserve">gemäß dem Verbot in § 4 Abs. 2 Nr. 8 das Angeln vom Boot aus auf den Großen Schauener See, den Alten Wochowsee und den Küchensee beschränkt bleibt,</w:t>
      </w:r>
    </w:p>
    <w:p>
      <w:r>
        <w:t xml:space="preserve">das Angeln am Küchensee vom Land aus verboten bleibt,</w:t>
      </w:r>
    </w:p>
    <w:p>
      <w:r>
        <w:t xml:space="preserve">die Angelfischerei an oder auf dem Karrassee nicht ausgeübt wird;</w:t>
      </w:r>
    </w:p>
    <w:p>
      <w:r>
        <w:t xml:space="preserve">die rechtmäßige Ausübung der Jagd mit der Maßgabe, dass das Verbot nach § 4 Abs. 2 Nr. 25 gilt;</w:t>
      </w:r>
    </w:p>
    <w:p>
      <w:r>
        <w:t xml:space="preserve">die sonstigen bei In-Kraft-Treten dieser Verordnung auf Grund behördlicher Einzelfallentscheidung rechtmäßig ausgeübten Nutzungen und Befugnisse in der bisherigen Art und im bisherigen Umfang;</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Maßnahmen zur Untersuchung von Altlastenverdachtsflächen und Maßnahmen der Altlastensanierung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die im Sinne des § 38 Abs. 1 Nr. 1 des Bundesnaturschutzgesetzes bestimmungsgemäße Nutzung der Bundeswehrliegenschaften der Kurmark-Kaserne Storkow zu Zwecken der Landesverteidigung einschließlich des Schutzes der Zivilbevölkerung sowie die zur Aufrechterhaltung und Sicherung der militärischen Nutzung erforderlichen Tätigkeiten, Maßnahmen und Einrichtungen;</w:t>
      </w:r>
    </w:p>
    <w:p>
      <w:r>
        <w:t xml:space="preserve">Maßnahmen, die der Abwendung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sowie der "Einwirkungszonen"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VO-NSGGROSSSCHAUSEE_2015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https://recht.nulegal.eu/gesetze/VO-NSGGROSSSCHAUSEE_2015/5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