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VO-NSGGROSSESFENN_2016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wird folgende Pflege- und Entwicklungsmaßnahme festgelegt:</w:t>
      </w:r>
    </w:p>
    <w:p>
      <w:r>
        <w:t xml:space="preserve">Es wird angestrebt, den Wasserpegel zu erreichen, der jenem Wasserpegel vor dem Bau der vorhandenen Entwässerungsanlagen entspricht.</w:t>
      </w:r>
    </w:p>
    <w:p>
      <w:r>
        <w:rPr>
          <w:color w:val="555555"/>
          <w:sz w:val="17"/>
        </w:rPr>
        <w:t xml:space="preserve">Zitiervorschlag: § 6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