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VO-NSGGRAENERT_2016 (Brandenburg) — Schutzzweck</w:t>
      </w:r>
    </w:p>
    <w:p>
      <w:r>
        <w:rPr>
          <w:color w:val="555555"/>
          <w:sz w:val="18"/>
        </w:rPr>
        <w:t xml:space="preserve">Verordnung über das Naturschutzgebiet „Gränert“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</w:t>
      </w:r>
    </w:p>
    <w:p>
      <w:r>
        <w:t xml:space="preserve">als Standort seltener und bestandsbedrohter Pflanzengesellschaften, wie Walzenseggen-Erlenbruch und Birkenbruchwaldgesellschaften, Wunderseggen- und Schlankseggenrieden, Froschbiß-Krebsscheren-Gesellschaften und artenreichen Restvorkommen von Binsen-Pfeifengraswiesen;</w:t>
      </w:r>
    </w:p>
    <w:p>
      <w:r>
        <w:t xml:space="preserve">als Lebensraum von in ihrem Bestand bedrohten Pflanzenarten;</w:t>
      </w:r>
    </w:p>
    <w:p>
      <w:r>
        <w:t xml:space="preserve">als Lebensraum bestandsbedrohter Tierarten, insbesondere von zahlreichen Vogel- und Schmetterlingsarten;</w:t>
      </w:r>
    </w:p>
    <w:p>
      <w:r>
        <w:t xml:space="preserve">aus ökologischen Gründen wegen der Vielzahl unterschiedlicher Biotoptypen und der Bedeutung im Rahmen des regionalen Biotopverbundes;</w:t>
      </w:r>
    </w:p>
    <w:p>
      <w:r>
        <w:t xml:space="preserve">wegen seiner besonderen geomorphologischen Eigenart.</w:t>
      </w:r>
    </w:p>
    <w:p>
      <w:r>
        <w:t xml:space="preserve">(2) Die Unterschutzstellung dient der Erhaltung und Entwicklung des Gebietes von gemeinschaftlicher Bedeutung „Gränert“ (§ 7 Absatz 1 Nummer 6 des Bundesnaturschutzgesetzes) mit seinen Vorkommen von</w:t>
      </w:r>
    </w:p>
    <w:p>
      <w:r>
        <w:t xml:space="preserve">Natürlichen eutrophen Seen mit einer Vegetation des Magnopotamions oder Hydrocharitions, Flüssen der planaren bis montanen Stufe mit Vegetation des Ranunculion fluitantis und des Callitricho-Batrachion, Pfeifengraswiesen auf kalkreichem Boden, torfigen und tonig-schluffigen Böden (Molinion caeruleae), Feuchten Hochstaudenfluren der planaren und montanen bis alpinen Stufe, Hainsimsen-Buchenwald (Luzulo-Fagetum) und Alten bodensauren Eichenwäldern auf Sandebenen mit Quercus robur als natürlichen Lebensraumtypen von gemeinschaftlichem Interesse im Sinne von § 7 Absatz 1 Nummer 4 des Bundesnaturschutzgesetzes;</w:t>
      </w:r>
    </w:p>
    <w:p>
      <w:r>
        <w:t xml:space="preserve">Auen-Wäldern mit Alnus glutinosa und Fraxinus excelsior (Alnio-Padion, Alnion incanae, Salicion albae) als prioritärem natürlichen Lebensraumtyp im Sinne von § 7 Absatz 1 Nummer 5 des Bundesnaturschutzgesetzes;</w:t>
      </w:r>
    </w:p>
    <w:p>
      <w:r>
        <w:t xml:space="preserve">Biber (Castor fiber), Fischotter (Lutra lutra), Kammmolch (Triturus cristatus), Bachneunauge (Lampetra planeri), Schmaler Windelschnecke (Vertigo angustior) und Bauchiger Windelschnecke (Vertigo moulinsiana) als Arten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VO-NSGGRAENERT_2016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https://recht.nulegal.eu/gesetze/VO-NSGGRAENERT_2016/3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