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VO-NSGGOERNERSEE_2016 (Brandenburg) — Zulässige Handlungen</w:t>
      </w:r>
    </w:p>
    <w:p>
      <w:r>
        <w:rPr>
          <w:color w:val="555555"/>
          <w:sz w:val="18"/>
        </w:rPr>
        <w:t xml:space="preserve">Verordnung über das Naturschutzgebiet „Görner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den in § 5 Absatz 2 des Bundesnaturschutzgesetzes genannten Grundsätzen der guten fachlichen Praxis entsprechende landwirtschaftliche Bodennutzung in der bisherigen Art und im bisherigen Umfang auf den bisher rechtmäßig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Stickstoffdüngemittel und Sekundärrohstoffdünger wie zum Beispiel Abwasser, Klärschlamm und Bioabfälle einzusetzen,</w:t>
      </w:r>
    </w:p>
    <w:p>
      <w:r>
        <w:t xml:space="preserve">der Einsatz von Pflanzenschutzmittel gemäß § 4 Absatz 2 Nummer 17 verboten bleibt;</w:t>
      </w:r>
    </w:p>
    <w:p>
      <w:r>
        <w:t xml:space="preserve">die im Sinne des § 11 Abs. 3 des Brandenburgischen Naturschutzgesetzes ordnungsgemäße forstwirtschaftliche Bodennutzung unter Beachtung der Verbote nach § 4 Abs. 2 Nr. 8, 9, 12, 14 und 17 dieser Verordnung;</w:t>
      </w:r>
    </w:p>
    <w:p>
      <w:r>
        <w:t xml:space="preserve">die im Sinne des § 11 Abs. 4 des Brandenburgischen Naturschutzgesetzes Ordnungsgemäße Fischereiwirtschaftliche Flächennutzung - auf den bisher rechtmäßig genutzten Flächen mit der Maßgabe, daß § 4 Abs. 2 Nr. 3 gilt;</w:t>
      </w:r>
    </w:p>
    <w:p>
      <w:r>
        <w:t xml:space="preserve">die rechtmäßige Ausübung der Jagd unter Beachtung der Verbote nach § 4 Abs. 2 Nr. 12 und 15 mit der Maßgabe, daß jagdliche Einrichtungen auf das notwendige Maß zu beschränken und in das Landschaftsbild einzupassen sind;</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der Verordnung auf Grund behördlicher Einzelfallentscheidungen rechtmäßig ausgeübten Nutzungen und Befugnisse in der bisherigen Art und im bisherigen Umfang;</w:t>
      </w:r>
    </w:p>
    <w:p>
      <w:r>
        <w:t xml:space="preserve">Maßnahmen zur Untersuchung von Altlastverdachtsflächen und Maßnahmen der Altlastensanierung im Einvernehmen mit der obersten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die Rekonstruktion der zum Gut gehörenden Parkanlage (Gemarkung Görne, Flur 1, Flurstück 42/2) im Einvernehmen mit der unteren Naturschutzbehörde.</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VO-NSGGOERNERSEE_2016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https://recht.nulegal.eu/gesetze/VO-NSGGOERNERSEE_2016/5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