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VO-NSGFORSTZINNA (Brandenburg) — Ordnungswidrigkeiten</w:t>
      </w:r>
    </w:p>
    <w:p>
      <w:r>
        <w:rPr>
          <w:color w:val="555555"/>
          <w:sz w:val="18"/>
        </w:rPr>
        <w:t xml:space="preserve">Verordnung über das Naturschutzgebiet „Forst Zinna-Jüterbog-Keilberg“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der §§ 4 und 4 a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VO-NSGFORSTZINNA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https://recht.nulegal.eu/gesetze/VO-NSGFORSTZINNA/8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