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VO-NSGFORSTZINNA (Brandenburg) — Befreiungen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