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VO-NSGFORSTZINNA (Brandenburg) — Verbote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Vorbehaltlich der nach § 5 zulässigen Handlungen sind im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von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 zu halten;</w:t>
      </w:r>
    </w:p>
    <w:p>
      <w:r>
        <w:t xml:space="preserve">Hunde, ausgenommen Diensthunde,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Pflanzenschutzmittel oder chemische Holzschutzmittel anzuwenden.</w:t>
      </w:r>
    </w:p>
    <w:p>
      <w:r>
        <w:rPr>
          <w:color w:val="555555"/>
          <w:sz w:val="17"/>
        </w:rPr>
        <w:t xml:space="preserve">Zitiervorschlag: § 4 VO-NSGFORSTZINNA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