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VO-NSGFORSTHAUSPROESA_2015 (Brandenburg) — Handlungen, die in das Naturschutzgebiet hineinwirken können</w:t>
      </w:r>
    </w:p>
    <w:p>
      <w:r>
        <w:rPr>
          <w:color w:val="555555"/>
          <w:sz w:val="18"/>
        </w:rPr>
        <w:t xml:space="preserve">Verordnung über das Naturschutzgebiet „Forsthaus Prösa“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den nach § 2 Abs. 3 dieser Verordnung bezeichneten Flächen außerhalb des Naturschutzgebietes ist es gemäß § 21 Abs. 2 Satz 2 des Brandenburgischen Naturschutzgesetzes verboten:</w:t>
      </w:r>
    </w:p>
    <w:p>
      <w:r>
        <w:t xml:space="preserve">Bodenbestandteile, insbesondere Kies, abzubauen, die Bodengestalt in sonstiger Weise zu verändern;</w:t>
      </w:r>
    </w:p>
    <w:p>
      <w:r>
        <w:t xml:space="preserve">dem Schutzzweck zuwiderlaufende Veränderungen des Wasserhaushaltes, vor allem des Grundwassers, vorzunehmen.</w:t>
      </w:r>
    </w:p>
    <w:p>
      <w:r>
        <w:rPr>
          <w:color w:val="555555"/>
          <w:sz w:val="17"/>
        </w:rPr>
        <w:t xml:space="preserve">Zitiervorschlag: § 5 VO-NSGFORSTHAUSPROESA_2015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https://recht.nulegal.eu/gesetze/VO-NSGFORSTHAUSPROESA_2015/5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