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VO-NSGFORSTHAUSPROESA_2015 (Brandenburg) — Schutzzweck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der Erhalt der großräumigen, zusammenhängenden und weitgehend ungestörten Waldgebiete sowie deren Entwicklung zu natürlichen, alt- und totholzreichen Waldökosystemen;</w:t>
      </w:r>
    </w:p>
    <w:p>
      <w:r>
        <w:t xml:space="preserve">die Bewahrung und Förderung naturnaher und strukturreicher Wälder wie beerstrauchreicher Traubeneichenwälder und Kiefernmischwälder, Bruchwälder und zwergstrauchreicher Kiefernwälder, insbesondere als Lebensraum der darauf angewiesenen Pflanzen- und Tiergemeinschaften mit seltenen und gefährdeten Arten;</w:t>
      </w:r>
    </w:p>
    <w:p>
      <w:r>
        <w:t xml:space="preserve">der Erhalt des Offenlandcharakters auf den Freiflächen innerhalb eines geschlossenen Waldgebietes mit seinen ausgedehnten Calluna-Heiden und Silbergrasfluren vor allem als Lebensraum für gefährdete Insekten, Reptilien und Vogelarten, insbesondere Bodenbrüter;</w:t>
      </w:r>
    </w:p>
    <w:p>
      <w:r>
        <w:t xml:space="preserve">der Erhalt und die Gewährleistung von natürlichen Entwicklungsprozessen auf Flächen innerhalb des Waldes und der Offenlandschaften und deren Entwicklung zu natürlichen, strukturreichen und weitgehend ungestörten Lebensräumen, insbesondere für Großvogelarten;</w:t>
      </w:r>
    </w:p>
    <w:p>
      <w:r>
        <w:t xml:space="preserve">die Bewahrung und Wiederherstellung der Quellen, der fließenden und stehenden Gewässer als naturnahe Lebensräume, insbesondere in Bezug auf</w:t>
      </w:r>
    </w:p>
    <w:p>
      <w:r>
        <w:t xml:space="preserve">die Zusammensetzung und Ausprägung ihrer Lebensgemeinschaften, Uferbereiche und Verlandungszonen,</w:t>
      </w:r>
    </w:p>
    <w:p>
      <w:r>
        <w:t xml:space="preserve">die Erhaltung und Wiederherstellung der Selbstreinigungskraft der Gewässer sowie die Verbesserung des Wasserhaushaltes und der Wasserqualität;</w:t>
      </w:r>
    </w:p>
    <w:p>
      <w:r>
        <w:t xml:space="preserve">der Erhalt und die Entwicklung seltener und gefährdeter Pflanzengesellschaften und ihrer Standorte, insbesondere der Frisch- und Feuchtwiesen, der Quellfluren, Moorgehölze, Röhrichte, Seggensümpfe und Verlandungsgesellschaften sowie der Sandtrockenrasen;</w:t>
      </w:r>
    </w:p>
    <w:p>
      <w:r>
        <w:t xml:space="preserve">der Erhalt und die Förderung seltener und gefährdeter Tier- und Pflanzenarten einschließlich ihrer Lebensräume;</w:t>
      </w:r>
    </w:p>
    <w:p>
      <w:r>
        <w:t xml:space="preserve">die Erhaltung und Entwicklung des Gebietes von gemeinschaftlicher Bedeutung „Forsthaus Prösa“ (§ 7 Absatz 1 Nummer 6 des Bundesnaturschutzgesetzes) mit seinen Vorkommen von</w:t>
      </w:r>
    </w:p>
    <w:p>
      <w:r>
        <w:t xml:space="preserve">Trockenen europäischen Heiden, Mageren Flachland-Mähwiesen (Alopecurus pratensis, Sanguisorba officinalis), Alten bodensauren Eichenwäldern auf Sandebenen mit Quercus robur und Montanen bis alpinen bodensauren Fichtenwäldern (Vaccinio-Piceetea) als natürlichen Lebensraumtypen von gemeinschaftlichem Interesse im Sinne von § 7 Absatz 1 Nummer 4 des Bundesnaturschutzgesetzes;</w:t>
      </w:r>
    </w:p>
    <w:p>
      <w:r>
        <w:t xml:space="preserve">Fischotter (Lutra lutra), Mopsfledermaus (Barbastella barbastellus), Bechsteinfledermaus (Myotis bechsteinii), Großem Mausohr (Myotis myotis) und Hirschkäfer (Lucanus cervus) als Arten von gemeinschaftlichem Interesse im Sinne von § 7 Absatz 2 Nummer 10 des Bundesnaturschutzgesetzes, einschließlich ihrer für Fortpflanzung, Ernährung, Wanderung und Überwinterung wichtigen Lebensräume;</w:t>
      </w:r>
    </w:p>
    <w:p>
      <w:r>
        <w:t xml:space="preserve">die Sicherung des Gebietes in seiner Bedeutung für den Schutz des Grundwassers, für die Entstehung sauberer Luft und den überregionalen Biotopverbund;</w:t>
      </w:r>
    </w:p>
    <w:p>
      <w:r>
        <w:t xml:space="preserve">der Erhalt eines typischen Ausschnitts einer eiszeitlich entstandenen und durch menschliche Nutzung geprägten Altmoränenlandschaft mit der für die Naturräume des Kirchhain-Finsterwalder Beckens und der Kraupaer Hochfläche charakteristischen Lebensraum- und Strukturvielfalt.</w:t>
      </w:r>
    </w:p>
    <w:p>
      <w:r>
        <w:rPr>
          <w:color w:val="555555"/>
          <w:sz w:val="17"/>
        </w:rPr>
        <w:t xml:space="preserve">Zitiervorschlag: § 3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