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VO-NSGFAULERSEE (Brandenburg) — Zulässige Handlungen</w:t>
      </w:r>
    </w:p>
    <w:p>
      <w:r>
        <w:rPr>
          <w:color w:val="555555"/>
          <w:sz w:val="18"/>
        </w:rPr>
        <w:t xml:space="preserve">Verordnung über das Naturschutzgebiet „Fauler See/Markendorfer Wald“</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auf den bisher rechtmäßig dafür genutzten Flächen mit der Maßgabe, dass Grünland als Wiese oder Weide genutzt wird und die jährliche Zufuhr an Pflanzennährstoffen über Dünger inklusive der Exkremente von Weidetieren je Hektar Grünland die Menge nicht überschreitet, die dem Äquivalent an Dünger von 1,4 Großvieheinheiten (GVE) entspricht, ohne chemisch-synthetische Stickstoffdüngemittel und Gülle einzusetzen, im Übrigen gilt § 4 Abs. 2 Nr. 17, 23 und 24;</w:t>
      </w:r>
    </w:p>
    <w:p>
      <w:r>
        <w:t xml:space="preserve">die im Sinne des § 11 Abs. 3 des Brandenburgischen Naturschutzgesetzes ordnungsgemäße forstwirtschaftliche Bodennutzung auf den bisher rechtmäßig dafür genutzten Flächen der Zone 2 mit der Maßgabe, dass</w:t>
      </w:r>
    </w:p>
    <w:p>
      <w:r>
        <w:t xml:space="preserve">eine Nutzung ausschließlich einzelstammweise erfolgt,</w:t>
      </w:r>
    </w:p>
    <w:p>
      <w:r>
        <w:t xml:space="preserve">nur standortheimische Gehölze eingebracht werden dürfen, die dem Artenspektrum der in § 3 aufgeführten natürlichen Waldgesellschaften entsprechen,</w:t>
      </w:r>
    </w:p>
    <w:p>
      <w:r>
        <w:t xml:space="preserve">stehendes Totholz nicht gefällt wird und liegendes Totholz an Ort und Stelle verbleibt und der künftige Altholzanteil zehn Prozent am Holzvorrat nicht unterschreitet,</w:t>
      </w:r>
    </w:p>
    <w:p>
      <w:r>
        <w:t xml:space="preserve">§ 4 Abs. 2 Nr. 23 gilt;</w:t>
      </w:r>
    </w:p>
    <w:p>
      <w:r>
        <w:t xml:space="preserve">die im Sinne des § 11 Abs. 4 des Brandenburgischen Naturschutzgesetzes in Verbindung mit § 1 Abs. 1 und 2 des Fischereigesetzes für das Land Brandenburg ordnungsgemäße fischereiwirtschaftliche Flächennutzung in der bisherigen Art und im bisherigen Umfang auf den bisher rechtmäßig dafür genutzten Flächen mit der Maßgabe, dass</w:t>
      </w:r>
    </w:p>
    <w:p>
      <w:r>
        <w:t xml:space="preserve">Fischbesatzmaßnahmen im Faulen See nicht die in § 3 Abs. 2 genannten Arten und Lebensräume beeinträchtigen; die Bestimmungen des § 40 des Brandenburgischen Naturschutzgesetzes bleiben unberührt,</w:t>
      </w:r>
    </w:p>
    <w:p>
      <w:r>
        <w:t xml:space="preserve">§ 4 Abs. 2 Nr. 19 gilt;</w:t>
      </w:r>
    </w:p>
    <w:p>
      <w:r>
        <w:t xml:space="preserve">die rechtmäßige Ausübung der Angelfischerei am Nord- und Westufer des Faulen Sees in dem in der topografischen Karte im Maßstab 1 : 10 000 gekennzeichneten Bereich;</w:t>
      </w:r>
    </w:p>
    <w:p>
      <w:r>
        <w:t xml:space="preserve">für den Bereich der Jagd:</w:t>
      </w:r>
    </w:p>
    <w:p>
      <w:r>
        <w:t xml:space="preserve">die rechtmäßige Ausübung der Jagd,</w:t>
      </w:r>
    </w:p>
    <w:p>
      <w:r>
        <w:t xml:space="preserve">die Anlage und ordnungsgemäße Unterhaltung jagdlicher Einrichtungen; Unzulässig bleibt die Anlage von Kirrungen auf Trockenrasen, Mooren und Gewässerrändern sowie die Anlage von Wildäckern und Ansaatwildwiesen;</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VO-NSGFAULERSEE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https://recht.nulegal.eu/gesetze/VO-NSGFAULERSEE/5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