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VO-NSGDAMMUEHLENFLIESSNI (Brandenburg) — Verhältnis zu anderen naturschutzrechtlichen Bestimmungen</w:t>
      </w:r>
    </w:p>
    <w:p>
      <w:r>
        <w:rPr>
          <w:color w:val="555555"/>
          <w:sz w:val="18"/>
        </w:rPr>
        <w:t xml:space="preserve">Verordnung über das Naturschutzgebiet „Dammühlenfließniederung“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Erlaß von Behandlungsrichtlinien zur Ausführung der in dieser Verordnung festgelegten Schutz-, Pflege- und Entwicklungsmaßnahmen und zur Verwirklichung des Schutzzwecks und die Duldung von Maßnahmen des Naturschutzes und der Landschaftspflege richten sich nach den §§ 29 und 68 des Brandenburgischen Naturschutzgesetzes.</w:t>
      </w:r>
    </w:p>
    <w:p>
      <w:r>
        <w:t xml:space="preserve">(2) Soweit nichts anderes bestimmt ist, gehen die Vorschriften dieser Verordnung anderen naturschutzrechtlichen Schutzausweisungen im Bereich des in § 2 genannten Gebietes vor.</w:t>
      </w:r>
    </w:p>
    <w:p>
      <w:r>
        <w:t xml:space="preserve">(3) Soweit diese Verordnung keine weitergehenden Vorschriften enthält, bleiben die Regelungen über gesetzlich geschützte Teile von Natur und Landschaft (nach den §§ 31 bis 36 des Brandenburgischen Naturschutzgesetzes) und über den Schutz und die Pflege wildlebender Tier- und Pflanzenarten (nach den §§ 20 bis 26 b des Bundesnaturschutzgesetzes und den §§ 37 bis 43 des Brandenburgischen Naturschutzgesetzes) unberührt.</w:t>
      </w:r>
    </w:p>
    <w:p>
      <w:r>
        <w:rPr>
          <w:color w:val="555555"/>
          <w:sz w:val="17"/>
        </w:rPr>
        <w:t xml:space="preserve">Zitiervorschlag: § 9 VO-NSGDAMMUEHLENFLIESSNI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https://recht.nulegal.eu/gesetze/VO-NSGDAMMUEHLENFLIESSNI/9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