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VO-NSGDAMMUEHLENFLIESSNI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„Dammühlenfließniederung“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Naturschutzgebiet werden die folgenden Entwicklungsmaßnahmen festgelegt:</w:t>
      </w:r>
    </w:p>
    <w:p>
      <w:r>
        <w:t xml:space="preserve">Beseitigung rechtswidrig angelegter Stege;</w:t>
      </w:r>
    </w:p>
    <w:p>
      <w:r>
        <w:t xml:space="preserve">Wiederaufnahme der Wiesennutzung auf aufgelassenen Grünlandflächen;</w:t>
      </w:r>
    </w:p>
    <w:p>
      <w:r>
        <w:t xml:space="preserve">Renaturierung sowie Erhaltung der hohen Wasserqualität des Wuggelmühlenfließes durch Verhinderung von Stoffeinträgen aus den umgebenden Flächen.</w:t>
      </w:r>
    </w:p>
    <w:p>
      <w:r>
        <w:rPr>
          <w:color w:val="555555"/>
          <w:sz w:val="17"/>
        </w:rPr>
        <w:t xml:space="preserve">Zitiervorschlag: § 6 VO-NSGDAMMUEHLENFLIESSNI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https://recht.nulegal.eu/gesetze/VO-NSGDAMMUEHLENFLIESSNI/6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