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VO-NSGDAMMUEHLENFLIESSNI (Brandenburg) — Schutzzweck</w:t>
      </w:r>
    </w:p>
    <w:p>
      <w:r>
        <w:rPr>
          <w:color w:val="555555"/>
          <w:sz w:val="18"/>
        </w:rPr>
        <w:t xml:space="preserve">Verordnung über das Naturschutzgebiet „Dammühlenfließniederung“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</w:t>
      </w:r>
    </w:p>
    <w:p>
      <w:r>
        <w:t xml:space="preserve">eines mäßig entwässerten Durchströmungsmoores und seiner Randbereiche als Standort seltener und gefährdeter Pflanzengesellschaften, insbesondere der Quellfluren, der Röhrichte und Großseggenriede, des Feucht- und Frischgrünlandes, naturnaher Laubwälder;</w:t>
      </w:r>
    </w:p>
    <w:p>
      <w:r>
        <w:t xml:space="preserve">des naturnahen Unterlaufes des Wuggelmühlenfließes mit komplexen Lebensgemeinschaften eines Tieflandbaches;</w:t>
      </w:r>
    </w:p>
    <w:p>
      <w:r>
        <w:t xml:space="preserve">eines vielfältigen Feuchtgebietskomplexes mit dem Verlandungsflachmoor "Möllenwinkel", Übergängen zum Schwielochsee und den Lebensräumen der Gewässer- und Gewässerrandvegetation;</w:t>
      </w:r>
    </w:p>
    <w:p>
      <w:r>
        <w:t xml:space="preserve">vielgestaltiger Lebensstätten für seltene und gefährdete Tier- und Pflanzenarten sowie ihrer Lebensgemeinschaften, insbesondere für Weichtiere, Lurche, Vögel und Säuger;</w:t>
      </w:r>
    </w:p>
    <w:p>
      <w:r>
        <w:t xml:space="preserve">als Feuchtgebiet im Biotopverbund zwischen Schwielochsee und den Ölsener Seen.</w:t>
      </w:r>
    </w:p>
    <w:p>
      <w:r>
        <w:rPr>
          <w:color w:val="555555"/>
          <w:sz w:val="17"/>
        </w:rPr>
        <w:t xml:space="preserve">Zitiervorschlag: § 3 VO-NSGDAMMUEHLENFLIESSNI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https://recht.nulegal.eu/gesetze/VO-NSGDAMMUEHLENFLIESSNI/3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