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VO-NSGDAMMUEHLENFLIESSNI (Brandenburg) — Erklärung zum Schutzgebiet</w:t>
      </w:r>
    </w:p>
    <w:p>
      <w:r>
        <w:rPr>
          <w:color w:val="555555"/>
          <w:sz w:val="18"/>
        </w:rPr>
        <w:t xml:space="preserve">Verordnung über das Naturschutzgebiet „Dammühlenfließniederung“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in § 2 dieser Verordnung näher bezeichneten Flächen in den Gemeinden Friedland, Leißnitz, Niewisch (Landkreis Oder-Spree) und Speichrow (Landkreis Dahme-Spreewald) werden als Naturschutzgebiet festgesetzt. Das Naturschutzgebiet trägt die Bezeichnung "Dammühlenfließniederung".</w:t>
      </w:r>
    </w:p>
    <w:p>
      <w:r>
        <w:rPr>
          <w:color w:val="555555"/>
          <w:sz w:val="17"/>
        </w:rPr>
        <w:t xml:space="preserve">Zitiervorschlag: § 1 VO-NSGDAMMUEHLENFLIESSNI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https://recht.nulegal.eu/gesetze/VO-NSGDAMMUEHLENFLIESSNI/1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